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tabs>
          <w:tab w:val="clear" w:pos="1081"/>
        </w:tabs>
        <w:ind w:leftChars="0"/>
        <w:jc w:val="left"/>
        <w:rPr>
          <w:rFonts w:asciiTheme="majorEastAsia" w:hAnsiTheme="majorEastAsia" w:eastAsiaTheme="majorEastAsia" w:cstheme="majorEastAsia"/>
        </w:rPr>
      </w:pPr>
      <w:bookmarkStart w:id="0" w:name="_Toc30593"/>
      <w:bookmarkStart w:id="52" w:name="_GoBack"/>
      <w:bookmarkEnd w:id="52"/>
      <w:r>
        <w:rPr>
          <w:rFonts w:hint="eastAsia" w:asciiTheme="majorEastAsia" w:hAnsiTheme="majorEastAsia" w:eastAsiaTheme="majorEastAsia" w:cstheme="majorEastAsia"/>
        </w:rPr>
        <w:t>智慧班牌系统</w:t>
      </w:r>
      <w:bookmarkEnd w:id="0"/>
      <w:bookmarkStart w:id="1" w:name="_Toc429667183"/>
    </w:p>
    <w:p>
      <w:pPr>
        <w:pStyle w:val="3"/>
        <w:numPr>
          <w:ilvl w:val="1"/>
          <w:numId w:val="0"/>
        </w:numPr>
        <w:tabs>
          <w:tab w:val="clear" w:pos="1081"/>
        </w:tabs>
      </w:pPr>
      <w:bookmarkStart w:id="2" w:name="_Toc2453"/>
      <w:r>
        <w:rPr>
          <w:rFonts w:hint="eastAsia" w:asciiTheme="majorEastAsia" w:hAnsiTheme="majorEastAsia" w:eastAsiaTheme="majorEastAsia" w:cstheme="majorEastAsia"/>
        </w:rPr>
        <w:t>1产品理念：</w:t>
      </w:r>
      <w:bookmarkEnd w:id="1"/>
      <w:bookmarkEnd w:id="2"/>
    </w:p>
    <w:p>
      <w:pPr>
        <w:pStyle w:val="6"/>
        <w:spacing w:line="360" w:lineRule="auto"/>
        <w:rPr>
          <w:b/>
        </w:rPr>
      </w:pPr>
      <w:bookmarkStart w:id="3" w:name="_Toc429667184"/>
      <w:r>
        <w:rPr>
          <w:rFonts w:hint="eastAsia"/>
          <w:b/>
        </w:rPr>
        <w:t>让每一位师生的出勤都有痕迹</w:t>
      </w:r>
      <w:bookmarkEnd w:id="3"/>
    </w:p>
    <w:p>
      <w:pPr>
        <w:spacing w:line="360" w:lineRule="auto"/>
        <w:ind w:left="525"/>
      </w:pPr>
      <w:r>
        <w:rPr>
          <w:rFonts w:hint="eastAsia"/>
        </w:rPr>
        <w:t>日常出勤、走班制考勤、识别身份，记录工作。</w:t>
      </w:r>
    </w:p>
    <w:p>
      <w:pPr>
        <w:pStyle w:val="6"/>
        <w:spacing w:line="360" w:lineRule="auto"/>
        <w:rPr>
          <w:b/>
        </w:rPr>
      </w:pPr>
      <w:bookmarkStart w:id="4" w:name="_Toc429667185"/>
      <w:r>
        <w:rPr>
          <w:rFonts w:hint="eastAsia"/>
          <w:b/>
        </w:rPr>
        <w:t>让每一位学生的色彩都能表达</w:t>
      </w:r>
      <w:bookmarkEnd w:id="4"/>
    </w:p>
    <w:p>
      <w:pPr>
        <w:spacing w:line="360" w:lineRule="auto"/>
        <w:ind w:firstLine="420" w:firstLineChars="200"/>
      </w:pPr>
      <w:r>
        <w:rPr>
          <w:rFonts w:hint="eastAsia"/>
        </w:rPr>
        <w:t>通过调查问卷及设备交互，让每一位学生都参与到校园建设中，让每一位的意见都得到尊重，培养学生民主意识，建设民主校园。</w:t>
      </w:r>
    </w:p>
    <w:p>
      <w:pPr>
        <w:pStyle w:val="6"/>
        <w:spacing w:line="360" w:lineRule="auto"/>
        <w:rPr>
          <w:b/>
        </w:rPr>
      </w:pPr>
      <w:bookmarkStart w:id="5" w:name="_Toc429667186"/>
      <w:r>
        <w:rPr>
          <w:rFonts w:hint="eastAsia"/>
          <w:b/>
        </w:rPr>
        <w:t>让每一所学校的文化都能传承</w:t>
      </w:r>
      <w:bookmarkEnd w:id="5"/>
    </w:p>
    <w:p>
      <w:pPr>
        <w:spacing w:line="360" w:lineRule="auto"/>
      </w:pPr>
      <w:r>
        <w:rPr>
          <w:rFonts w:hint="eastAsia"/>
        </w:rPr>
        <w:t xml:space="preserve">    通过宣传图片、荣誉墙、通知公告建设班级文化、校园文化。</w:t>
      </w:r>
    </w:p>
    <w:p>
      <w:pPr>
        <w:pStyle w:val="3"/>
        <w:numPr>
          <w:ilvl w:val="1"/>
          <w:numId w:val="0"/>
        </w:numPr>
        <w:tabs>
          <w:tab w:val="clear" w:pos="720"/>
          <w:tab w:val="clear" w:pos="1081"/>
        </w:tabs>
        <w:rPr>
          <w:rFonts w:asciiTheme="majorEastAsia" w:hAnsiTheme="majorEastAsia" w:eastAsiaTheme="majorEastAsia" w:cstheme="majorEastAsia"/>
        </w:rPr>
      </w:pPr>
      <w:bookmarkStart w:id="6" w:name="_Toc429667187"/>
      <w:bookmarkStart w:id="7" w:name="_Toc31279"/>
      <w:r>
        <w:rPr>
          <w:rFonts w:hint="eastAsia" w:asciiTheme="majorEastAsia" w:hAnsiTheme="majorEastAsia" w:eastAsiaTheme="majorEastAsia" w:cstheme="majorEastAsia"/>
        </w:rPr>
        <w:t>2产品介绍：</w:t>
      </w:r>
      <w:bookmarkEnd w:id="6"/>
      <w:bookmarkEnd w:id="7"/>
    </w:p>
    <w:p>
      <w:pPr>
        <w:spacing w:line="360" w:lineRule="auto"/>
        <w:ind w:left="420" w:leftChars="200" w:firstLine="420" w:firstLineChars="200"/>
        <w:rPr>
          <w:rFonts w:ascii="宋体" w:hAnsi="宋体"/>
          <w:szCs w:val="21"/>
        </w:rPr>
      </w:pPr>
      <w:r>
        <w:rPr>
          <w:rFonts w:hint="eastAsia" w:ascii="宋体" w:hAnsi="宋体"/>
          <w:szCs w:val="21"/>
        </w:rPr>
        <w:t>智能班牌管理系统是以出勤管理和班级信息展示为主体，为中小学教育行业量身设计的一款集射频卡技术、语音技术、多媒体技术、后台管理软件技术、智能门禁系统技术为一体的综合管理平台系统。</w:t>
      </w:r>
    </w:p>
    <w:p>
      <w:pPr>
        <w:spacing w:line="360" w:lineRule="auto"/>
        <w:jc w:val="center"/>
        <w:rPr>
          <w:sz w:val="24"/>
        </w:rPr>
      </w:pPr>
      <w:r>
        <w:rPr>
          <w:rFonts w:hint="eastAsia"/>
          <w:sz w:val="24"/>
        </w:rPr>
        <w:drawing>
          <wp:inline distT="0" distB="0" distL="114300" distR="114300">
            <wp:extent cx="4443730" cy="2500630"/>
            <wp:effectExtent l="0" t="0" r="13970" b="13970"/>
            <wp:docPr id="33" name="图片 33" descr="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Y"/>
                    <pic:cNvPicPr>
                      <a:picLocks noChangeAspect="1"/>
                    </pic:cNvPicPr>
                  </pic:nvPicPr>
                  <pic:blipFill>
                    <a:blip r:embed="rId4"/>
                    <a:stretch>
                      <a:fillRect/>
                    </a:stretch>
                  </pic:blipFill>
                  <pic:spPr>
                    <a:xfrm>
                      <a:off x="0" y="0"/>
                      <a:ext cx="4443730" cy="2500630"/>
                    </a:xfrm>
                    <a:prstGeom prst="rect">
                      <a:avLst/>
                    </a:prstGeom>
                  </pic:spPr>
                </pic:pic>
              </a:graphicData>
            </a:graphic>
          </wp:inline>
        </w:drawing>
      </w:r>
    </w:p>
    <w:p>
      <w:pPr>
        <w:spacing w:line="360" w:lineRule="auto"/>
        <w:ind w:firstLine="420" w:firstLineChars="200"/>
        <w:rPr>
          <w:szCs w:val="21"/>
        </w:rPr>
      </w:pPr>
      <w:r>
        <w:rPr>
          <w:rFonts w:hint="eastAsia"/>
          <w:szCs w:val="21"/>
        </w:rPr>
        <w:t>通过智慧班牌设备和后台教务管理软件的统一管理，在智慧班牌上，将实现班牌展示、学生上课刷卡考勤、考勤状况汇总展示、课表展示、优秀标兵展示、校园通知展示、班级文化图片展示、调查问卷等多种功能。</w:t>
      </w:r>
    </w:p>
    <w:p>
      <w:pPr>
        <w:spacing w:line="360" w:lineRule="auto"/>
        <w:rPr>
          <w:szCs w:val="21"/>
        </w:rPr>
      </w:pPr>
      <w:r>
        <w:rPr>
          <w:rFonts w:hint="eastAsia"/>
          <w:b/>
          <w:bCs/>
          <w:szCs w:val="21"/>
        </w:rPr>
        <w:t xml:space="preserve">   </w:t>
      </w:r>
      <w:r>
        <w:rPr>
          <w:rFonts w:hint="eastAsia"/>
          <w:szCs w:val="21"/>
        </w:rPr>
        <w:t xml:space="preserve"> 智慧班牌管理系统有助于解决学生缺席选修课程这一问题，是学校校园安全工作的重要项目，是“走班制”实行后学校急需的教育教学工具；通过色彩鲜艳、友好的人机交互界面向学生传达校园文化、集体荣誉、个人风采，将丰富的、健康的、阳光的课余氛围层层递进，深入人心，对学校德育工作、减负工作均起到积极有效的作用。</w:t>
      </w:r>
    </w:p>
    <w:p>
      <w:pPr>
        <w:spacing w:line="360" w:lineRule="auto"/>
        <w:rPr>
          <w:rFonts w:ascii="微软雅黑" w:hAnsi="微软雅黑" w:eastAsia="微软雅黑" w:cs="微软雅黑"/>
          <w:b/>
          <w:bCs/>
          <w:szCs w:val="21"/>
        </w:rPr>
      </w:pPr>
      <w:r>
        <w:rPr>
          <w:rFonts w:hint="eastAsia" w:ascii="微软雅黑" w:hAnsi="微软雅黑" w:eastAsia="微软雅黑" w:cs="微软雅黑"/>
          <w:b/>
          <w:bCs/>
          <w:szCs w:val="21"/>
        </w:rPr>
        <w:t>软件界面：</w:t>
      </w:r>
      <w:r>
        <w:rPr>
          <w:rFonts w:hint="eastAsia" w:ascii="微软雅黑" w:hAnsi="微软雅黑" w:eastAsia="微软雅黑" w:cs="微软雅黑"/>
          <w:b/>
          <w:bCs/>
          <w:szCs w:val="21"/>
        </w:rPr>
        <w:drawing>
          <wp:inline distT="0" distB="0" distL="114300" distR="114300">
            <wp:extent cx="4630420" cy="2422525"/>
            <wp:effectExtent l="0" t="0" r="17780" b="15875"/>
            <wp:docPr id="6" name="图片 6" descr="{6%1X$~2(_7NMQ)X5J7J`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X$~2(_7NMQ)X5J7J`WI"/>
                    <pic:cNvPicPr>
                      <a:picLocks noChangeAspect="1"/>
                    </pic:cNvPicPr>
                  </pic:nvPicPr>
                  <pic:blipFill>
                    <a:blip r:embed="rId5"/>
                    <a:stretch>
                      <a:fillRect/>
                    </a:stretch>
                  </pic:blipFill>
                  <pic:spPr>
                    <a:xfrm>
                      <a:off x="0" y="0"/>
                      <a:ext cx="4630420" cy="2422525"/>
                    </a:xfrm>
                    <a:prstGeom prst="rect">
                      <a:avLst/>
                    </a:prstGeom>
                  </pic:spPr>
                </pic:pic>
              </a:graphicData>
            </a:graphic>
          </wp:inline>
        </w:drawing>
      </w:r>
    </w:p>
    <w:p>
      <w:pPr>
        <w:spacing w:line="360" w:lineRule="auto"/>
        <w:rPr>
          <w:rFonts w:ascii="微软雅黑" w:hAnsi="微软雅黑" w:eastAsia="微软雅黑" w:cs="微软雅黑"/>
          <w:b/>
          <w:bCs/>
          <w:szCs w:val="21"/>
        </w:rPr>
      </w:pPr>
      <w:r>
        <w:rPr>
          <w:rFonts w:hint="eastAsia" w:ascii="微软雅黑" w:hAnsi="微软雅黑" w:eastAsia="微软雅黑" w:cs="微软雅黑"/>
          <w:b/>
          <w:bCs/>
          <w:szCs w:val="21"/>
        </w:rPr>
        <w:t>终端界面：</w:t>
      </w:r>
    </w:p>
    <w:p>
      <w:pPr>
        <w:spacing w:line="360" w:lineRule="auto"/>
        <w:rPr>
          <w:rFonts w:ascii="微软雅黑" w:hAnsi="微软雅黑" w:eastAsia="微软雅黑" w:cs="微软雅黑"/>
          <w:b/>
          <w:bCs/>
          <w:szCs w:val="21"/>
        </w:rPr>
      </w:pPr>
      <w:r>
        <w:rPr>
          <w:rFonts w:hint="eastAsia"/>
        </w:rPr>
        <w:t xml:space="preserve"> </w:t>
      </w:r>
      <w:r>
        <w:drawing>
          <wp:inline distT="0" distB="0" distL="114300" distR="114300">
            <wp:extent cx="4895215" cy="2904490"/>
            <wp:effectExtent l="0" t="0" r="63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895215" cy="2904490"/>
                    </a:xfrm>
                    <a:prstGeom prst="rect">
                      <a:avLst/>
                    </a:prstGeom>
                    <a:noFill/>
                    <a:ln w="9525">
                      <a:noFill/>
                    </a:ln>
                  </pic:spPr>
                </pic:pic>
              </a:graphicData>
            </a:graphic>
          </wp:inline>
        </w:drawing>
      </w:r>
    </w:p>
    <w:p>
      <w:pPr>
        <w:pStyle w:val="3"/>
        <w:numPr>
          <w:ilvl w:val="1"/>
          <w:numId w:val="0"/>
        </w:numPr>
        <w:tabs>
          <w:tab w:val="clear" w:pos="720"/>
          <w:tab w:val="clear" w:pos="1081"/>
        </w:tabs>
        <w:rPr>
          <w:rFonts w:asciiTheme="majorEastAsia" w:hAnsiTheme="majorEastAsia" w:eastAsiaTheme="majorEastAsia" w:cstheme="majorEastAsia"/>
        </w:rPr>
      </w:pPr>
      <w:bookmarkStart w:id="8" w:name="_Toc429667188"/>
      <w:bookmarkStart w:id="9" w:name="_Toc15701"/>
      <w:r>
        <w:rPr>
          <w:rFonts w:hint="eastAsia" w:asciiTheme="majorEastAsia" w:hAnsiTheme="majorEastAsia" w:eastAsiaTheme="majorEastAsia" w:cstheme="majorEastAsia"/>
        </w:rPr>
        <w:t>3产品定位</w:t>
      </w:r>
      <w:bookmarkEnd w:id="8"/>
      <w:bookmarkEnd w:id="9"/>
    </w:p>
    <w:p>
      <w:pPr>
        <w:spacing w:line="360" w:lineRule="auto"/>
        <w:ind w:firstLine="420" w:firstLineChars="200"/>
      </w:pPr>
      <w:r>
        <w:rPr>
          <w:rFonts w:hint="eastAsia"/>
        </w:rPr>
        <w:t>智慧班牌定位于校园管理服务类应用，通过信息化手段，辅助学校进行课程管理，服务建设校园文化、班级文化。采用安卓系统，灵活聚焦实现各种应用。主要功能定位以下几点：</w:t>
      </w:r>
    </w:p>
    <w:p>
      <w:pPr>
        <w:pStyle w:val="9"/>
        <w:spacing w:line="360" w:lineRule="auto"/>
        <w:ind w:firstLine="482"/>
      </w:pPr>
      <w:bookmarkStart w:id="10" w:name="_Toc429667189"/>
      <w:bookmarkStart w:id="11" w:name="_Toc22708"/>
      <w:bookmarkStart w:id="12" w:name="_Toc25524"/>
      <w:r>
        <w:rPr>
          <w:rStyle w:val="10"/>
          <w:rFonts w:hint="eastAsia"/>
          <w:sz w:val="24"/>
        </w:rPr>
        <w:t>校园信息中心媒体</w:t>
      </w:r>
      <w:bookmarkEnd w:id="10"/>
      <w:bookmarkEnd w:id="11"/>
      <w:bookmarkEnd w:id="12"/>
      <w:r>
        <w:rPr>
          <w:rFonts w:hint="eastAsia"/>
        </w:rPr>
        <w:t>：运用信息化技术，传播丰富的校园信息，作为校园新媒体和信息传送的载体，主要应用在德育文化、教务信息、校园管理传达，实现信息覆盖，打造校园信息中心。</w:t>
      </w:r>
    </w:p>
    <w:p>
      <w:pPr>
        <w:pStyle w:val="9"/>
        <w:spacing w:line="360" w:lineRule="auto"/>
        <w:ind w:firstLine="482"/>
      </w:pPr>
      <w:bookmarkStart w:id="13" w:name="_Toc11629"/>
      <w:bookmarkStart w:id="14" w:name="_Toc11540"/>
      <w:bookmarkStart w:id="15" w:name="_Toc429667190"/>
      <w:r>
        <w:rPr>
          <w:rStyle w:val="10"/>
          <w:rFonts w:hint="eastAsia"/>
          <w:sz w:val="24"/>
        </w:rPr>
        <w:t>校园调查评价系统</w:t>
      </w:r>
      <w:bookmarkEnd w:id="13"/>
      <w:bookmarkEnd w:id="14"/>
      <w:bookmarkEnd w:id="15"/>
      <w:r>
        <w:rPr>
          <w:rFonts w:hint="eastAsia"/>
        </w:rPr>
        <w:t>：将智慧班牌作为校园民意调查的终端，可以在终端上调查学生的意见，从而对校园工作决策提供民意支撑。</w:t>
      </w:r>
    </w:p>
    <w:p>
      <w:pPr>
        <w:pStyle w:val="9"/>
        <w:spacing w:line="360" w:lineRule="auto"/>
      </w:pPr>
      <w:r>
        <w:rPr>
          <w:rFonts w:hint="eastAsia"/>
        </w:rPr>
        <w:drawing>
          <wp:inline distT="0" distB="0" distL="114300" distR="114300">
            <wp:extent cx="4537710" cy="2553335"/>
            <wp:effectExtent l="0" t="0" r="15240" b="18415"/>
            <wp:docPr id="234" name="图片 234" descr="调查问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调查问卷"/>
                    <pic:cNvPicPr>
                      <a:picLocks noChangeAspect="1"/>
                    </pic:cNvPicPr>
                  </pic:nvPicPr>
                  <pic:blipFill>
                    <a:blip r:embed="rId7"/>
                    <a:stretch>
                      <a:fillRect/>
                    </a:stretch>
                  </pic:blipFill>
                  <pic:spPr>
                    <a:xfrm>
                      <a:off x="0" y="0"/>
                      <a:ext cx="4537710" cy="2553335"/>
                    </a:xfrm>
                    <a:prstGeom prst="rect">
                      <a:avLst/>
                    </a:prstGeom>
                  </pic:spPr>
                </pic:pic>
              </a:graphicData>
            </a:graphic>
          </wp:inline>
        </w:drawing>
      </w:r>
    </w:p>
    <w:p>
      <w:pPr>
        <w:pStyle w:val="9"/>
        <w:spacing w:line="360" w:lineRule="auto"/>
        <w:ind w:firstLine="482"/>
      </w:pPr>
      <w:bookmarkStart w:id="16" w:name="_Toc32169"/>
      <w:bookmarkStart w:id="17" w:name="_Toc429667191"/>
      <w:bookmarkStart w:id="18" w:name="_Toc30858"/>
      <w:r>
        <w:rPr>
          <w:rStyle w:val="10"/>
          <w:rFonts w:hint="eastAsia"/>
          <w:sz w:val="24"/>
        </w:rPr>
        <w:t>校园教务管理</w:t>
      </w:r>
      <w:bookmarkEnd w:id="16"/>
      <w:bookmarkEnd w:id="17"/>
      <w:bookmarkEnd w:id="18"/>
      <w:r>
        <w:rPr>
          <w:rFonts w:hint="eastAsia"/>
        </w:rPr>
        <w:t>：对学生出勤进行管理监督，尤其适用于高中的走班制教学，肩负一定的校园安全管理功能。</w:t>
      </w:r>
    </w:p>
    <w:p>
      <w:pPr>
        <w:pStyle w:val="9"/>
        <w:spacing w:line="360" w:lineRule="auto"/>
      </w:pPr>
      <w:r>
        <w:rPr>
          <w:rFonts w:hint="eastAsia"/>
        </w:rPr>
        <w:drawing>
          <wp:inline distT="0" distB="0" distL="114300" distR="114300">
            <wp:extent cx="5266055" cy="2962275"/>
            <wp:effectExtent l="0" t="0" r="10795" b="9525"/>
            <wp:docPr id="235" name="图片 235" descr="出勤明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出勤明细"/>
                    <pic:cNvPicPr>
                      <a:picLocks noChangeAspect="1"/>
                    </pic:cNvPicPr>
                  </pic:nvPicPr>
                  <pic:blipFill>
                    <a:blip r:embed="rId8"/>
                    <a:stretch>
                      <a:fillRect/>
                    </a:stretch>
                  </pic:blipFill>
                  <pic:spPr>
                    <a:xfrm>
                      <a:off x="0" y="0"/>
                      <a:ext cx="5266055" cy="2962275"/>
                    </a:xfrm>
                    <a:prstGeom prst="rect">
                      <a:avLst/>
                    </a:prstGeom>
                  </pic:spPr>
                </pic:pic>
              </a:graphicData>
            </a:graphic>
          </wp:inline>
        </w:drawing>
      </w:r>
    </w:p>
    <w:p>
      <w:pPr>
        <w:pStyle w:val="9"/>
        <w:spacing w:line="360" w:lineRule="auto"/>
        <w:ind w:firstLine="482"/>
      </w:pPr>
      <w:bookmarkStart w:id="19" w:name="_Toc23308"/>
      <w:bookmarkStart w:id="20" w:name="_Toc429667192"/>
      <w:bookmarkStart w:id="21" w:name="_Toc7997"/>
      <w:r>
        <w:rPr>
          <w:rStyle w:val="10"/>
          <w:rFonts w:hint="eastAsia"/>
          <w:sz w:val="24"/>
        </w:rPr>
        <w:t>德育教育管理</w:t>
      </w:r>
      <w:bookmarkEnd w:id="19"/>
      <w:bookmarkEnd w:id="20"/>
      <w:bookmarkEnd w:id="21"/>
      <w:r>
        <w:rPr>
          <w:rFonts w:hint="eastAsia"/>
        </w:rPr>
        <w:t>：一方面通过终端发布德育教育的信息、展现成果；另外一方面可通过智慧班牌快捷的对学生的德育行为进行评价，满足目前素质教育中的德育教育工作。</w:t>
      </w:r>
    </w:p>
    <w:p>
      <w:pPr>
        <w:pStyle w:val="9"/>
        <w:spacing w:line="360" w:lineRule="auto"/>
      </w:pPr>
    </w:p>
    <w:p>
      <w:pPr>
        <w:pStyle w:val="3"/>
        <w:numPr>
          <w:ilvl w:val="1"/>
          <w:numId w:val="0"/>
        </w:numPr>
        <w:tabs>
          <w:tab w:val="clear" w:pos="720"/>
          <w:tab w:val="clear" w:pos="1081"/>
        </w:tabs>
        <w:rPr>
          <w:rFonts w:asciiTheme="majorEastAsia" w:hAnsiTheme="majorEastAsia" w:eastAsiaTheme="majorEastAsia" w:cstheme="majorEastAsia"/>
        </w:rPr>
      </w:pPr>
      <w:bookmarkStart w:id="22" w:name="_Toc19256"/>
      <w:bookmarkStart w:id="23" w:name="_Toc429667193"/>
      <w:r>
        <w:rPr>
          <w:rFonts w:hint="eastAsia" w:asciiTheme="majorEastAsia" w:hAnsiTheme="majorEastAsia" w:eastAsiaTheme="majorEastAsia" w:cstheme="majorEastAsia"/>
        </w:rPr>
        <w:t>4用户定位</w:t>
      </w:r>
      <w:bookmarkEnd w:id="22"/>
      <w:bookmarkEnd w:id="23"/>
    </w:p>
    <w:p>
      <w:pPr>
        <w:spacing w:line="360" w:lineRule="auto"/>
        <w:ind w:left="420" w:leftChars="200" w:firstLine="420" w:firstLineChars="200"/>
      </w:pPr>
      <w:r>
        <w:rPr>
          <w:rFonts w:hint="eastAsia"/>
        </w:rPr>
        <w:t>智慧班牌定位于K12基础教育，以高中用户为主，涵盖中职、初中、小学等义务教育阶段。</w:t>
      </w:r>
    </w:p>
    <w:p>
      <w:pPr>
        <w:pStyle w:val="3"/>
        <w:numPr>
          <w:ilvl w:val="1"/>
          <w:numId w:val="0"/>
        </w:numPr>
        <w:tabs>
          <w:tab w:val="clear" w:pos="720"/>
          <w:tab w:val="clear" w:pos="1081"/>
        </w:tabs>
        <w:rPr>
          <w:rFonts w:asciiTheme="majorEastAsia" w:hAnsiTheme="majorEastAsia" w:eastAsiaTheme="majorEastAsia" w:cstheme="majorEastAsia"/>
        </w:rPr>
      </w:pPr>
      <w:bookmarkStart w:id="24" w:name="_Toc429667194"/>
      <w:bookmarkStart w:id="25" w:name="_Toc29968"/>
      <w:r>
        <w:rPr>
          <w:rFonts w:hint="eastAsia" w:asciiTheme="majorEastAsia" w:hAnsiTheme="majorEastAsia" w:eastAsiaTheme="majorEastAsia" w:cstheme="majorEastAsia"/>
        </w:rPr>
        <w:t>5产品优势</w:t>
      </w:r>
      <w:bookmarkEnd w:id="24"/>
      <w:bookmarkEnd w:id="25"/>
    </w:p>
    <w:p>
      <w:pPr>
        <w:pStyle w:val="4"/>
        <w:rPr>
          <w:sz w:val="24"/>
        </w:rPr>
      </w:pPr>
      <w:bookmarkStart w:id="26" w:name="_Toc3674"/>
      <w:bookmarkStart w:id="27" w:name="_Toc429667195"/>
      <w:r>
        <w:rPr>
          <w:rFonts w:hint="eastAsia" w:asciiTheme="majorEastAsia" w:hAnsiTheme="majorEastAsia" w:eastAsiaTheme="majorEastAsia" w:cstheme="majorEastAsia"/>
          <w:szCs w:val="32"/>
        </w:rPr>
        <w:t>5.1安全性：</w:t>
      </w:r>
      <w:bookmarkEnd w:id="26"/>
      <w:bookmarkEnd w:id="27"/>
    </w:p>
    <w:p>
      <w:pPr>
        <w:spacing w:line="360" w:lineRule="auto"/>
        <w:ind w:firstLine="420" w:firstLineChars="200"/>
      </w:pPr>
      <w:r>
        <w:rPr>
          <w:rFonts w:hint="eastAsia"/>
        </w:rPr>
        <w:t>全金属机身，弧度防撞设计，嵌入式安卓系统保证系统安全，低功率保证用电安全。</w:t>
      </w:r>
    </w:p>
    <w:p>
      <w:pPr>
        <w:spacing w:line="360" w:lineRule="auto"/>
        <w:ind w:firstLine="420" w:firstLineChars="200"/>
      </w:pPr>
      <w:r>
        <w:rPr>
          <w:rFonts w:hint="eastAsia"/>
        </w:rPr>
        <w:t>相比较于市面上已有的windows平台产品， 智慧班牌采用嵌入式安卓系统，无需担忧系统版权问题，且系统更安全，防范性更强。</w:t>
      </w:r>
    </w:p>
    <w:p>
      <w:pPr>
        <w:spacing w:line="360" w:lineRule="auto"/>
        <w:ind w:firstLine="420" w:firstLineChars="200"/>
      </w:pPr>
      <w:r>
        <w:rPr>
          <w:rFonts w:hint="eastAsia"/>
        </w:rPr>
        <w:t xml:space="preserve"> 智慧班牌采用低功耗主机，额定功率只有35W，对于校园的用电安全，有良好的保障。</w:t>
      </w:r>
    </w:p>
    <w:p>
      <w:pPr>
        <w:pStyle w:val="4"/>
        <w:rPr>
          <w:rFonts w:asciiTheme="majorEastAsia" w:hAnsiTheme="majorEastAsia" w:eastAsiaTheme="majorEastAsia" w:cstheme="majorEastAsia"/>
          <w:szCs w:val="32"/>
        </w:rPr>
      </w:pPr>
      <w:bookmarkStart w:id="28" w:name="_Toc23930"/>
      <w:bookmarkStart w:id="29" w:name="_Toc429667196"/>
      <w:r>
        <w:rPr>
          <w:rFonts w:hint="eastAsia" w:asciiTheme="majorEastAsia" w:hAnsiTheme="majorEastAsia" w:eastAsiaTheme="majorEastAsia" w:cstheme="majorEastAsia"/>
          <w:szCs w:val="32"/>
        </w:rPr>
        <w:t>5.2专业性：</w:t>
      </w:r>
      <w:bookmarkEnd w:id="28"/>
      <w:bookmarkEnd w:id="29"/>
    </w:p>
    <w:p>
      <w:pPr>
        <w:spacing w:line="360" w:lineRule="auto"/>
        <w:ind w:firstLine="420" w:firstLineChars="200"/>
      </w:pPr>
      <w:r>
        <w:rPr>
          <w:rFonts w:hint="eastAsia"/>
        </w:rPr>
        <w:t>专业为校园量身打造，功能注重实用性，专注且极致，深度集成各物理模块。</w:t>
      </w:r>
    </w:p>
    <w:p>
      <w:pPr>
        <w:spacing w:line="360" w:lineRule="auto"/>
        <w:ind w:firstLine="420" w:firstLineChars="200"/>
      </w:pPr>
      <w:r>
        <w:rPr>
          <w:rFonts w:hint="eastAsia"/>
        </w:rPr>
        <w:t xml:space="preserve"> 智慧班牌所有的硬件模块均采用深度集成，包括读卡模块、拍照模块、显示模块、门禁控制模块。在深度集成下，无需经过后台软件，终端直接能够进行数据处理。</w:t>
      </w:r>
    </w:p>
    <w:p>
      <w:pPr>
        <w:spacing w:line="360" w:lineRule="auto"/>
        <w:ind w:firstLine="420" w:firstLineChars="200"/>
      </w:pPr>
      <w:r>
        <w:rPr>
          <w:rFonts w:hint="eastAsia"/>
        </w:rPr>
        <w:t xml:space="preserve"> 智慧班牌所提供的功能，不以多为目标，只提供日常最常用和最实用的功能，将应用做精，专注而极致。</w:t>
      </w:r>
    </w:p>
    <w:p>
      <w:pPr>
        <w:pStyle w:val="4"/>
        <w:rPr>
          <w:rFonts w:asciiTheme="majorEastAsia" w:hAnsiTheme="majorEastAsia" w:eastAsiaTheme="majorEastAsia" w:cstheme="majorEastAsia"/>
          <w:szCs w:val="32"/>
        </w:rPr>
      </w:pPr>
      <w:bookmarkStart w:id="30" w:name="_Toc429667197"/>
      <w:bookmarkStart w:id="31" w:name="_Toc16595"/>
      <w:r>
        <w:rPr>
          <w:rFonts w:hint="eastAsia" w:asciiTheme="majorEastAsia" w:hAnsiTheme="majorEastAsia" w:eastAsiaTheme="majorEastAsia" w:cstheme="majorEastAsia"/>
          <w:szCs w:val="32"/>
        </w:rPr>
        <w:t>5.3稳定性：</w:t>
      </w:r>
      <w:bookmarkEnd w:id="30"/>
      <w:bookmarkEnd w:id="31"/>
    </w:p>
    <w:p>
      <w:pPr>
        <w:spacing w:line="360" w:lineRule="auto"/>
        <w:ind w:firstLine="437"/>
      </w:pPr>
      <w:r>
        <w:rPr>
          <w:rFonts w:hint="eastAsia"/>
        </w:rPr>
        <w:t>嵌入式安卓系统深度开发，保证24小时无间断工作，故障率极低。</w:t>
      </w:r>
    </w:p>
    <w:p>
      <w:pPr>
        <w:spacing w:line="360" w:lineRule="auto"/>
        <w:ind w:firstLine="437"/>
      </w:pPr>
      <w:r>
        <w:rPr>
          <w:rFonts w:hint="eastAsia"/>
        </w:rPr>
        <w:t>嵌入式安卓系统相对比windows系统，更稳定，不易死机，能够保障设备长久稳定的运行，避免因故障造成的教学事故。</w:t>
      </w:r>
    </w:p>
    <w:p>
      <w:pPr>
        <w:pStyle w:val="4"/>
        <w:rPr>
          <w:rFonts w:asciiTheme="majorEastAsia" w:hAnsiTheme="majorEastAsia" w:eastAsiaTheme="majorEastAsia" w:cstheme="majorEastAsia"/>
          <w:szCs w:val="32"/>
        </w:rPr>
      </w:pPr>
      <w:bookmarkStart w:id="32" w:name="_Toc32652"/>
      <w:bookmarkStart w:id="33" w:name="_Toc429667198"/>
      <w:r>
        <w:rPr>
          <w:rFonts w:hint="eastAsia" w:asciiTheme="majorEastAsia" w:hAnsiTheme="majorEastAsia" w:eastAsiaTheme="majorEastAsia" w:cstheme="majorEastAsia"/>
          <w:szCs w:val="32"/>
        </w:rPr>
        <w:t>5.4交互性：</w:t>
      </w:r>
      <w:bookmarkEnd w:id="32"/>
      <w:bookmarkEnd w:id="33"/>
    </w:p>
    <w:p>
      <w:pPr>
        <w:spacing w:line="360" w:lineRule="auto"/>
        <w:ind w:firstLine="437"/>
      </w:pPr>
      <w:r>
        <w:rPr>
          <w:rFonts w:hint="eastAsia"/>
        </w:rPr>
        <w:t>独立的刷卡及拍照区域，先进的人机交互设计。</w:t>
      </w:r>
    </w:p>
    <w:p>
      <w:pPr>
        <w:spacing w:line="360" w:lineRule="auto"/>
        <w:ind w:firstLine="437"/>
      </w:pPr>
      <w:r>
        <w:rPr>
          <w:rFonts w:hint="eastAsia"/>
        </w:rPr>
        <w:t>彩色屏幕，优秀的终端界面设计，各功能区明确划分。刷卡联动拍照，通过刷卡确认身份，四个功能按键，多种组合可进行日常交互及维护工作。</w:t>
      </w:r>
    </w:p>
    <w:p>
      <w:pPr>
        <w:pStyle w:val="4"/>
        <w:rPr>
          <w:sz w:val="24"/>
        </w:rPr>
      </w:pPr>
      <w:bookmarkStart w:id="34" w:name="_Toc429667200"/>
      <w:bookmarkStart w:id="35" w:name="_Toc14410"/>
      <w:r>
        <w:rPr>
          <w:rFonts w:hint="eastAsia" w:asciiTheme="majorEastAsia" w:hAnsiTheme="majorEastAsia" w:eastAsiaTheme="majorEastAsia" w:cstheme="majorEastAsia"/>
          <w:szCs w:val="32"/>
        </w:rPr>
        <w:t>5.5扩展性：</w:t>
      </w:r>
      <w:bookmarkEnd w:id="34"/>
      <w:bookmarkEnd w:id="35"/>
    </w:p>
    <w:p>
      <w:pPr>
        <w:spacing w:line="360" w:lineRule="auto"/>
        <w:ind w:firstLine="420" w:firstLineChars="200"/>
        <w:rPr>
          <w:szCs w:val="21"/>
        </w:rPr>
      </w:pPr>
      <w:r>
        <w:rPr>
          <w:rFonts w:hint="eastAsia"/>
          <w:szCs w:val="21"/>
        </w:rPr>
        <w:t>智慧班牌系统可直接形成标准一卡通平台，与 智慧校园系统实现相互联动，可与学校多媒体教室管理系统、宿舍进出管理系统、考试考场管理系统、会议签到管理系统、门禁管理系统等多种应用系统相互结合，实现真正意义上可联动的智慧校园一卡通平台。</w:t>
      </w:r>
    </w:p>
    <w:p>
      <w:pPr>
        <w:pStyle w:val="3"/>
        <w:numPr>
          <w:ilvl w:val="1"/>
          <w:numId w:val="0"/>
        </w:numPr>
        <w:tabs>
          <w:tab w:val="clear" w:pos="720"/>
          <w:tab w:val="clear" w:pos="1081"/>
        </w:tabs>
        <w:rPr>
          <w:rFonts w:asciiTheme="majorEastAsia" w:hAnsiTheme="majorEastAsia" w:eastAsiaTheme="majorEastAsia" w:cstheme="majorEastAsia"/>
        </w:rPr>
      </w:pPr>
      <w:bookmarkStart w:id="36" w:name="_Toc25025"/>
      <w:bookmarkStart w:id="37" w:name="_Toc429667201"/>
      <w:r>
        <w:rPr>
          <w:rFonts w:hint="eastAsia" w:asciiTheme="majorEastAsia" w:hAnsiTheme="majorEastAsia" w:eastAsiaTheme="majorEastAsia" w:cstheme="majorEastAsia"/>
        </w:rPr>
        <w:t>6产品功能</w:t>
      </w:r>
      <w:bookmarkEnd w:id="36"/>
      <w:bookmarkEnd w:id="37"/>
    </w:p>
    <w:p>
      <w:pPr>
        <w:pStyle w:val="4"/>
        <w:rPr>
          <w:rFonts w:asciiTheme="majorEastAsia" w:hAnsiTheme="majorEastAsia" w:eastAsiaTheme="majorEastAsia" w:cstheme="majorEastAsia"/>
          <w:szCs w:val="32"/>
        </w:rPr>
      </w:pPr>
      <w:bookmarkStart w:id="38" w:name="_Toc429667202"/>
      <w:bookmarkStart w:id="39" w:name="_Toc4854"/>
      <w:r>
        <w:rPr>
          <w:rFonts w:hint="eastAsia" w:asciiTheme="majorEastAsia" w:hAnsiTheme="majorEastAsia" w:eastAsiaTheme="majorEastAsia" w:cstheme="majorEastAsia"/>
          <w:szCs w:val="32"/>
        </w:rPr>
        <w:t>6.1教务考勤：</w:t>
      </w:r>
      <w:bookmarkEnd w:id="38"/>
      <w:bookmarkEnd w:id="39"/>
    </w:p>
    <w:p>
      <w:pPr>
        <w:spacing w:line="360" w:lineRule="auto"/>
        <w:rPr>
          <w:szCs w:val="21"/>
        </w:rPr>
      </w:pPr>
      <w:r>
        <w:rPr>
          <w:rFonts w:hint="eastAsia"/>
          <w:sz w:val="24"/>
        </w:rPr>
        <w:t xml:space="preserve">  </w:t>
      </w:r>
      <w:r>
        <w:rPr>
          <w:rFonts w:hint="eastAsia"/>
          <w:szCs w:val="21"/>
        </w:rPr>
        <w:t xml:space="preserve">  智慧班牌提供教务考勤功能，可针对教师、学生的上课进行出勤管理，兼容选修课、走班制等教学模式。</w:t>
      </w:r>
    </w:p>
    <w:p>
      <w:pPr>
        <w:spacing w:line="360" w:lineRule="auto"/>
        <w:ind w:left="420" w:leftChars="200"/>
        <w:rPr>
          <w:sz w:val="24"/>
        </w:rPr>
      </w:pPr>
      <w:r>
        <w:rPr>
          <w:rFonts w:hint="eastAsia"/>
          <w:sz w:val="24"/>
        </w:rPr>
        <w:drawing>
          <wp:inline distT="0" distB="0" distL="114300" distR="114300">
            <wp:extent cx="4909185" cy="2773680"/>
            <wp:effectExtent l="0" t="0" r="5715" b="7620"/>
            <wp:docPr id="4"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图片1"/>
                    <pic:cNvPicPr>
                      <a:picLocks noChangeAspect="1"/>
                    </pic:cNvPicPr>
                  </pic:nvPicPr>
                  <pic:blipFill>
                    <a:blip r:embed="rId9"/>
                    <a:stretch>
                      <a:fillRect/>
                    </a:stretch>
                  </pic:blipFill>
                  <pic:spPr>
                    <a:xfrm>
                      <a:off x="0" y="0"/>
                      <a:ext cx="4909185" cy="2773680"/>
                    </a:xfrm>
                    <a:prstGeom prst="rect">
                      <a:avLst/>
                    </a:prstGeom>
                    <a:noFill/>
                    <a:ln w="9525">
                      <a:noFill/>
                    </a:ln>
                  </pic:spPr>
                </pic:pic>
              </a:graphicData>
            </a:graphic>
          </wp:inline>
        </w:drawing>
      </w:r>
    </w:p>
    <w:p>
      <w:pPr>
        <w:spacing w:line="360" w:lineRule="auto"/>
      </w:pPr>
      <w:r>
        <w:drawing>
          <wp:inline distT="0" distB="0" distL="114300" distR="114300">
            <wp:extent cx="5273040" cy="2931160"/>
            <wp:effectExtent l="0" t="0" r="3810" b="25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273040" cy="2931160"/>
                    </a:xfrm>
                    <a:prstGeom prst="rect">
                      <a:avLst/>
                    </a:prstGeom>
                    <a:noFill/>
                    <a:ln w="9525">
                      <a:noFill/>
                    </a:ln>
                  </pic:spPr>
                </pic:pic>
              </a:graphicData>
            </a:graphic>
          </wp:inline>
        </w:drawing>
      </w:r>
    </w:p>
    <w:p>
      <w:pPr>
        <w:spacing w:line="360" w:lineRule="auto"/>
        <w:rPr>
          <w:szCs w:val="21"/>
        </w:rPr>
      </w:pPr>
      <w:r>
        <w:rPr>
          <w:rFonts w:hint="eastAsia"/>
          <w:szCs w:val="21"/>
        </w:rPr>
        <w:t>学期管理：定义校历、假期、作息时间；</w:t>
      </w:r>
    </w:p>
    <w:p>
      <w:pPr>
        <w:spacing w:line="360" w:lineRule="auto"/>
        <w:rPr>
          <w:szCs w:val="21"/>
        </w:rPr>
      </w:pPr>
      <w:r>
        <w:rPr>
          <w:rFonts w:hint="eastAsia"/>
          <w:szCs w:val="21"/>
        </w:rPr>
        <w:t>课表管理：分为必须课课程导入和选修课课程导入；</w:t>
      </w:r>
    </w:p>
    <w:p>
      <w:pPr>
        <w:spacing w:line="360" w:lineRule="auto"/>
        <w:rPr>
          <w:szCs w:val="21"/>
        </w:rPr>
      </w:pPr>
      <w:r>
        <w:rPr>
          <w:rFonts w:hint="eastAsia"/>
          <w:szCs w:val="21"/>
        </w:rPr>
        <w:t>课程调整：用于对课程情况的查询和调整课程的教师或教室；</w:t>
      </w:r>
    </w:p>
    <w:p>
      <w:pPr>
        <w:spacing w:line="360" w:lineRule="auto"/>
        <w:rPr>
          <w:szCs w:val="21"/>
        </w:rPr>
      </w:pPr>
      <w:r>
        <w:rPr>
          <w:rFonts w:hint="eastAsia"/>
          <w:szCs w:val="21"/>
        </w:rPr>
        <w:t>教室监控：通过软件可监控每个教师的实时出勤情况；</w:t>
      </w:r>
    </w:p>
    <w:p>
      <w:pPr>
        <w:spacing w:line="360" w:lineRule="auto"/>
        <w:rPr>
          <w:szCs w:val="21"/>
        </w:rPr>
      </w:pPr>
      <w:r>
        <w:rPr>
          <w:rFonts w:hint="eastAsia"/>
          <w:szCs w:val="21"/>
        </w:rPr>
        <w:t>统计报表：个人汇总、课程汇总、教师汇总、班级汇总、听课汇总等报表。</w:t>
      </w:r>
    </w:p>
    <w:p>
      <w:pPr>
        <w:spacing w:line="360" w:lineRule="auto"/>
        <w:rPr>
          <w:rFonts w:ascii="微软雅黑" w:hAnsi="微软雅黑" w:eastAsia="微软雅黑" w:cs="微软雅黑"/>
          <w:b/>
          <w:bCs/>
          <w:szCs w:val="21"/>
        </w:rPr>
      </w:pPr>
      <w:r>
        <w:rPr>
          <w:rFonts w:hint="eastAsia" w:ascii="微软雅黑" w:hAnsi="微软雅黑" w:eastAsia="微软雅黑" w:cs="微软雅黑"/>
          <w:b/>
          <w:bCs/>
          <w:szCs w:val="21"/>
        </w:rPr>
        <w:t>出勤状况实时监控界面：</w:t>
      </w:r>
    </w:p>
    <w:p>
      <w:pPr>
        <w:spacing w:line="360" w:lineRule="auto"/>
        <w:rPr>
          <w:rFonts w:ascii="宋体" w:hAnsi="宋体" w:cs="宋体"/>
          <w:b/>
          <w:bCs/>
          <w:sz w:val="24"/>
        </w:rPr>
      </w:pPr>
      <w:r>
        <w:rPr>
          <w:rFonts w:hint="eastAsia" w:ascii="宋体" w:hAnsi="宋体" w:cs="宋体"/>
          <w:b/>
          <w:bCs/>
          <w:sz w:val="24"/>
        </w:rPr>
        <w:drawing>
          <wp:inline distT="0" distB="0" distL="114300" distR="114300">
            <wp:extent cx="5272405" cy="3374390"/>
            <wp:effectExtent l="0" t="0" r="4445" b="16510"/>
            <wp:docPr id="13" name="图片 13" descr="4大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大块-2"/>
                    <pic:cNvPicPr>
                      <a:picLocks noChangeAspect="1"/>
                    </pic:cNvPicPr>
                  </pic:nvPicPr>
                  <pic:blipFill>
                    <a:blip r:embed="rId11"/>
                    <a:stretch>
                      <a:fillRect/>
                    </a:stretch>
                  </pic:blipFill>
                  <pic:spPr>
                    <a:xfrm>
                      <a:off x="0" y="0"/>
                      <a:ext cx="5272405" cy="3374390"/>
                    </a:xfrm>
                    <a:prstGeom prst="rect">
                      <a:avLst/>
                    </a:prstGeom>
                  </pic:spPr>
                </pic:pic>
              </a:graphicData>
            </a:graphic>
          </wp:inline>
        </w:drawing>
      </w:r>
    </w:p>
    <w:p>
      <w:pPr>
        <w:spacing w:line="360" w:lineRule="auto"/>
        <w:ind w:firstLine="420" w:firstLineChars="200"/>
        <w:rPr>
          <w:rFonts w:ascii="宋体" w:hAnsi="宋体" w:cs="宋体"/>
          <w:szCs w:val="21"/>
        </w:rPr>
      </w:pPr>
      <w:r>
        <w:rPr>
          <w:rFonts w:hint="eastAsia" w:ascii="宋体" w:hAnsi="宋体" w:cs="宋体"/>
          <w:szCs w:val="21"/>
        </w:rPr>
        <w:t>通过实时监控界面可掌握每个正在上课的教室里的老师、学生出勤状况，对于教师缺勤的情况系统及时预警，操作人员可排查教师未到原因，及时通知班主任调换老师到课堂，避免因教师缺勤而造成的教学事故。</w:t>
      </w:r>
    </w:p>
    <w:p>
      <w:pPr>
        <w:spacing w:line="360" w:lineRule="auto"/>
        <w:ind w:firstLine="420" w:firstLineChars="200"/>
        <w:rPr>
          <w:rFonts w:ascii="宋体" w:hAnsi="宋体" w:cs="宋体"/>
          <w:szCs w:val="21"/>
        </w:rPr>
      </w:pPr>
      <w:r>
        <w:rPr>
          <w:rFonts w:hint="eastAsia" w:ascii="宋体" w:hAnsi="宋体" w:cs="宋体"/>
          <w:szCs w:val="21"/>
        </w:rPr>
        <w:t>当然，对于无故缺勤的学生，也可以及时进行预警提醒，避免造成学生旷课学校监管不严而导致学生安全出现隐患等问题。</w:t>
      </w:r>
    </w:p>
    <w:p>
      <w:pPr>
        <w:pStyle w:val="5"/>
        <w:numPr>
          <w:ilvl w:val="3"/>
          <w:numId w:val="0"/>
        </w:numPr>
        <w:tabs>
          <w:tab w:val="clear" w:pos="1440"/>
        </w:tabs>
        <w:rPr>
          <w:rFonts w:asciiTheme="minorEastAsia" w:hAnsiTheme="minorEastAsia" w:eastAsiaTheme="minorEastAsia" w:cstheme="minorEastAsia"/>
        </w:rPr>
      </w:pPr>
      <w:bookmarkStart w:id="40" w:name="_Toc15486"/>
      <w:r>
        <w:rPr>
          <w:rFonts w:hint="eastAsia" w:asciiTheme="minorEastAsia" w:hAnsiTheme="minorEastAsia" w:eastAsiaTheme="minorEastAsia" w:cstheme="minorEastAsia"/>
        </w:rPr>
        <w:t>6.1.1走班制考勤</w:t>
      </w:r>
      <w:bookmarkEnd w:id="40"/>
    </w:p>
    <w:p>
      <w:pPr>
        <w:ind w:firstLine="420" w:firstLineChars="200"/>
      </w:pPr>
      <w:r>
        <w:rPr>
          <w:rFonts w:hint="eastAsia"/>
        </w:rPr>
        <w:t>目前高考方式的改革，带动了教学方式向走班制教学的变革，走班制教学方式最学校的挑战主要集中在对教学资源的调配和新教学模式的管理。 智慧班牌兼容走班制出勤管理与服务。</w:t>
      </w:r>
    </w:p>
    <w:p>
      <w:r>
        <w:drawing>
          <wp:inline distT="0" distB="0" distL="114300" distR="114300">
            <wp:extent cx="5273040" cy="1983105"/>
            <wp:effectExtent l="0" t="0" r="3810" b="1714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2"/>
                    <a:stretch>
                      <a:fillRect/>
                    </a:stretch>
                  </pic:blipFill>
                  <pic:spPr>
                    <a:xfrm>
                      <a:off x="0" y="0"/>
                      <a:ext cx="5273040" cy="1983105"/>
                    </a:xfrm>
                    <a:prstGeom prst="rect">
                      <a:avLst/>
                    </a:prstGeom>
                    <a:noFill/>
                    <a:ln w="9525">
                      <a:noFill/>
                    </a:ln>
                  </pic:spPr>
                </pic:pic>
              </a:graphicData>
            </a:graphic>
          </wp:inline>
        </w:drawing>
      </w:r>
    </w:p>
    <w:p>
      <w:pPr>
        <w:ind w:firstLine="422" w:firstLineChars="200"/>
        <w:rPr>
          <w:b/>
          <w:bCs/>
        </w:rPr>
      </w:pPr>
    </w:p>
    <w:p>
      <w:pPr>
        <w:ind w:firstLine="422" w:firstLineChars="200"/>
        <w:rPr>
          <w:b/>
          <w:bCs/>
        </w:rPr>
      </w:pPr>
      <w:r>
        <w:rPr>
          <w:rFonts w:hint="eastAsia"/>
          <w:b/>
          <w:bCs/>
        </w:rPr>
        <w:t>数据挖掘分析：</w:t>
      </w:r>
    </w:p>
    <w:p>
      <w:pPr>
        <w:ind w:left="420" w:firstLine="420" w:firstLineChars="200"/>
      </w:pPr>
      <w:r>
        <w:rPr>
          <w:rFonts w:hint="eastAsia"/>
        </w:rPr>
        <w:t>从签到角度实时监管课程情况，防止教学事故。</w:t>
      </w:r>
    </w:p>
    <w:p>
      <w:pPr>
        <w:ind w:left="420" w:firstLine="420" w:firstLineChars="200"/>
      </w:pPr>
      <w:r>
        <w:rPr>
          <w:rFonts w:hint="eastAsia"/>
        </w:rPr>
        <w:t>挖掘呈现学校授课情况，为决策提供依据。</w:t>
      </w:r>
    </w:p>
    <w:p>
      <w:pPr>
        <w:ind w:left="420" w:firstLine="420" w:firstLineChars="200"/>
      </w:pPr>
      <w:r>
        <w:rPr>
          <w:rFonts w:hint="eastAsia"/>
        </w:rPr>
        <w:t>课程签到数据同时可作为学生到校信息依据。</w:t>
      </w:r>
    </w:p>
    <w:p>
      <w:pPr>
        <w:ind w:left="420" w:firstLine="420" w:firstLineChars="200"/>
      </w:pPr>
    </w:p>
    <w:p>
      <w:pPr>
        <w:ind w:firstLine="420" w:firstLineChars="200"/>
      </w:pPr>
      <w:r>
        <w:rPr>
          <w:rFonts w:hint="eastAsia"/>
        </w:rPr>
        <w:t>走班制之后行政班更多的转向教学班的管理，学生的课堂签到就比较重要， 平台中的走班制出勤管理能够实时呈现课程出勤结果，课程签到数据可通过平台进行数据联动，改变学生的在校状态。</w:t>
      </w:r>
    </w:p>
    <w:p>
      <w:r>
        <w:drawing>
          <wp:inline distT="0" distB="0" distL="114300" distR="114300">
            <wp:extent cx="5271135" cy="3267075"/>
            <wp:effectExtent l="0" t="0" r="5715" b="952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3"/>
                    <a:stretch>
                      <a:fillRect/>
                    </a:stretch>
                  </pic:blipFill>
                  <pic:spPr>
                    <a:xfrm>
                      <a:off x="0" y="0"/>
                      <a:ext cx="5271135" cy="3267075"/>
                    </a:xfrm>
                    <a:prstGeom prst="rect">
                      <a:avLst/>
                    </a:prstGeom>
                    <a:noFill/>
                    <a:ln w="9525">
                      <a:noFill/>
                    </a:ln>
                  </pic:spPr>
                </pic:pic>
              </a:graphicData>
            </a:graphic>
          </wp:inline>
        </w:drawing>
      </w:r>
    </w:p>
    <w:p>
      <w:pPr>
        <w:ind w:firstLine="420" w:firstLineChars="200"/>
      </w:pPr>
      <w:r>
        <w:rPr>
          <w:rFonts w:hint="eastAsia"/>
        </w:rPr>
        <w:t xml:space="preserve"> 走班制管理系统依附于智慧班牌可为师生提供查询课表服务，师生可以在设备上查询自己的课程时间。</w:t>
      </w:r>
    </w:p>
    <w:p>
      <w:pPr>
        <w:widowControl/>
        <w:jc w:val="center"/>
      </w:pPr>
      <w:r>
        <w:rPr>
          <w:rFonts w:hint="eastAsia"/>
        </w:rPr>
        <w:drawing>
          <wp:inline distT="0" distB="0" distL="114300" distR="114300">
            <wp:extent cx="5027295" cy="2945765"/>
            <wp:effectExtent l="0" t="0" r="1905" b="6985"/>
            <wp:docPr id="248" name="图片 24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07"/>
                    <pic:cNvPicPr>
                      <a:picLocks noChangeAspect="1"/>
                    </pic:cNvPicPr>
                  </pic:nvPicPr>
                  <pic:blipFill>
                    <a:blip r:embed="rId14"/>
                    <a:stretch>
                      <a:fillRect/>
                    </a:stretch>
                  </pic:blipFill>
                  <pic:spPr>
                    <a:xfrm>
                      <a:off x="0" y="0"/>
                      <a:ext cx="5027295" cy="2945765"/>
                    </a:xfrm>
                    <a:prstGeom prst="rect">
                      <a:avLst/>
                    </a:prstGeom>
                  </pic:spPr>
                </pic:pic>
              </a:graphicData>
            </a:graphic>
          </wp:inline>
        </w:drawing>
      </w:r>
    </w:p>
    <w:p>
      <w:pPr>
        <w:ind w:firstLine="420" w:firstLineChars="200"/>
      </w:pPr>
    </w:p>
    <w:p>
      <w:pPr>
        <w:pStyle w:val="5"/>
        <w:numPr>
          <w:ilvl w:val="3"/>
          <w:numId w:val="0"/>
        </w:numPr>
        <w:tabs>
          <w:tab w:val="clear" w:pos="1440"/>
        </w:tabs>
        <w:rPr>
          <w:rFonts w:asciiTheme="minorEastAsia" w:hAnsiTheme="minorEastAsia" w:eastAsiaTheme="minorEastAsia" w:cstheme="minorEastAsia"/>
        </w:rPr>
      </w:pPr>
      <w:bookmarkStart w:id="41" w:name="_Toc30372"/>
      <w:r>
        <w:rPr>
          <w:rFonts w:hint="eastAsia" w:asciiTheme="minorEastAsia" w:hAnsiTheme="minorEastAsia" w:eastAsiaTheme="minorEastAsia" w:cstheme="minorEastAsia"/>
        </w:rPr>
        <w:t>6.1.2排课导入</w:t>
      </w:r>
      <w:bookmarkEnd w:id="41"/>
    </w:p>
    <w:p>
      <w:pPr>
        <w:spacing w:line="360" w:lineRule="auto"/>
        <w:ind w:firstLine="420" w:firstLineChars="200"/>
      </w:pPr>
      <w:r>
        <w:rPr>
          <w:rFonts w:hint="eastAsia"/>
        </w:rPr>
        <w:t>智慧班牌系统拥有强大的排课导入，支持三种导入课表方式可供学校根据不同情况进行选择。</w:t>
      </w:r>
    </w:p>
    <w:p>
      <w:pPr>
        <w:spacing w:line="480" w:lineRule="auto"/>
        <w:ind w:firstLine="420" w:firstLineChars="200"/>
      </w:pPr>
      <w:r>
        <w:rPr>
          <w:rFonts w:hint="eastAsia"/>
        </w:rPr>
        <w:t>1.自主导入课表，可对需要导入的课程以及课程所对应的老师进行实时排课，排课灵活度高，排课后即可实时显示到班牌设备中。</w:t>
      </w:r>
    </w:p>
    <w:p>
      <w:pPr>
        <w:widowControl/>
        <w:jc w:val="left"/>
        <w:rPr>
          <w:rFonts w:ascii="宋体" w:hAnsi="宋体" w:eastAsia="宋体" w:cs="宋体"/>
          <w:kern w:val="0"/>
          <w:sz w:val="24"/>
          <w:lang w:bidi="ar"/>
        </w:rPr>
      </w:pPr>
      <w:r>
        <w:rPr>
          <w:rFonts w:ascii="宋体" w:hAnsi="宋体" w:eastAsia="宋体" w:cs="宋体"/>
          <w:kern w:val="0"/>
          <w:sz w:val="24"/>
          <w:lang w:bidi="ar"/>
        </w:rPr>
        <w:fldChar w:fldCharType="begin"/>
      </w:r>
      <w:r>
        <w:rPr>
          <w:rFonts w:ascii="宋体" w:hAnsi="宋体" w:eastAsia="宋体" w:cs="宋体"/>
          <w:kern w:val="0"/>
          <w:sz w:val="24"/>
          <w:lang w:bidi="ar"/>
        </w:rPr>
        <w:instrText xml:space="preserve">INCLUDEPICTURE \d "E:\\UserData\\My Documents\\Tencent Files\\406890627\\Image\\C2C\\3GX[M(%KDF9FQV8_N[R)`HT.jpg" \* MERGEFORMATINET </w:instrText>
      </w:r>
      <w:r>
        <w:rPr>
          <w:rFonts w:ascii="宋体" w:hAnsi="宋体" w:eastAsia="宋体" w:cs="宋体"/>
          <w:kern w:val="0"/>
          <w:sz w:val="24"/>
          <w:lang w:bidi="ar"/>
        </w:rPr>
        <w:fldChar w:fldCharType="separate"/>
      </w:r>
      <w:r>
        <w:rPr>
          <w:rFonts w:ascii="宋体" w:hAnsi="宋体" w:eastAsia="宋体" w:cs="宋体"/>
          <w:kern w:val="0"/>
          <w:sz w:val="24"/>
        </w:rPr>
        <w:drawing>
          <wp:inline distT="0" distB="0" distL="114300" distR="114300">
            <wp:extent cx="5368290" cy="2368550"/>
            <wp:effectExtent l="0" t="0" r="3810" b="12700"/>
            <wp:docPr id="246"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4" descr="IMG_256"/>
                    <pic:cNvPicPr>
                      <a:picLocks noChangeAspect="1"/>
                    </pic:cNvPicPr>
                  </pic:nvPicPr>
                  <pic:blipFill>
                    <a:blip r:embed="rId15"/>
                    <a:stretch>
                      <a:fillRect/>
                    </a:stretch>
                  </pic:blipFill>
                  <pic:spPr>
                    <a:xfrm>
                      <a:off x="0" y="0"/>
                      <a:ext cx="5368290" cy="2368550"/>
                    </a:xfrm>
                    <a:prstGeom prst="rect">
                      <a:avLst/>
                    </a:prstGeom>
                    <a:noFill/>
                    <a:ln w="9525">
                      <a:noFill/>
                    </a:ln>
                  </pic:spPr>
                </pic:pic>
              </a:graphicData>
            </a:graphic>
          </wp:inline>
        </w:drawing>
      </w:r>
      <w:r>
        <w:rPr>
          <w:rFonts w:ascii="宋体" w:hAnsi="宋体" w:eastAsia="宋体" w:cs="宋体"/>
          <w:kern w:val="0"/>
          <w:sz w:val="24"/>
          <w:lang w:bidi="ar"/>
        </w:rPr>
        <w:fldChar w:fldCharType="end"/>
      </w:r>
    </w:p>
    <w:p>
      <w:pPr>
        <w:widowControl/>
        <w:numPr>
          <w:ilvl w:val="0"/>
          <w:numId w:val="2"/>
        </w:numPr>
        <w:spacing w:line="360" w:lineRule="auto"/>
        <w:ind w:firstLine="420" w:firstLineChars="200"/>
        <w:jc w:val="left"/>
        <w:rPr>
          <w:rFonts w:ascii="宋体" w:hAnsi="宋体" w:eastAsia="宋体" w:cs="宋体"/>
          <w:kern w:val="0"/>
          <w:szCs w:val="21"/>
          <w:lang w:bidi="ar"/>
        </w:rPr>
      </w:pPr>
      <w:r>
        <w:rPr>
          <w:rFonts w:hint="eastAsia" w:ascii="宋体" w:hAnsi="宋体" w:eastAsia="宋体" w:cs="宋体"/>
          <w:kern w:val="0"/>
          <w:szCs w:val="21"/>
          <w:lang w:bidi="ar"/>
        </w:rPr>
        <w:t>通过Excel表导入课程</w:t>
      </w:r>
    </w:p>
    <w:p>
      <w:pPr>
        <w:widowControl/>
        <w:spacing w:line="360" w:lineRule="auto"/>
        <w:ind w:firstLine="420" w:firstLineChars="200"/>
        <w:jc w:val="left"/>
        <w:rPr>
          <w:rFonts w:ascii="宋体" w:hAnsi="宋体" w:eastAsia="宋体" w:cs="宋体"/>
          <w:kern w:val="0"/>
          <w:szCs w:val="21"/>
          <w:lang w:bidi="ar"/>
        </w:rPr>
      </w:pPr>
      <w:r>
        <w:rPr>
          <w:rFonts w:hint="eastAsia" w:ascii="宋体" w:hAnsi="宋体" w:eastAsia="宋体" w:cs="宋体"/>
          <w:kern w:val="0"/>
          <w:szCs w:val="21"/>
          <w:lang w:bidi="ar"/>
        </w:rPr>
        <w:t>通过下载系统自带的Excel模板对课程进行导入，操作简单，实用度高，方便学校大量的课表导入。</w:t>
      </w:r>
    </w:p>
    <w:p>
      <w:pPr>
        <w:widowControl/>
        <w:jc w:val="left"/>
      </w:pPr>
      <w:r>
        <w:rPr>
          <w:rFonts w:ascii="宋体" w:hAnsi="宋体" w:eastAsia="宋体" w:cs="宋体"/>
          <w:kern w:val="0"/>
          <w:sz w:val="24"/>
          <w:lang w:bidi="ar"/>
        </w:rPr>
        <w:fldChar w:fldCharType="begin"/>
      </w:r>
      <w:r>
        <w:rPr>
          <w:rFonts w:ascii="宋体" w:hAnsi="宋体" w:eastAsia="宋体" w:cs="宋体"/>
          <w:kern w:val="0"/>
          <w:sz w:val="24"/>
          <w:lang w:bidi="ar"/>
        </w:rPr>
        <w:instrText xml:space="preserve">INCLUDEPICTURE \d "E:\\UserData\\My Documents\\Tencent Files\\406890627\\Image\\C2C\\BV7B(3PS~}{YJZCNVG]}$4H.png" \* MERGEFORMATINET </w:instrText>
      </w:r>
      <w:r>
        <w:rPr>
          <w:rFonts w:ascii="宋体" w:hAnsi="宋体" w:eastAsia="宋体" w:cs="宋体"/>
          <w:kern w:val="0"/>
          <w:sz w:val="24"/>
          <w:lang w:bidi="ar"/>
        </w:rPr>
        <w:fldChar w:fldCharType="separate"/>
      </w:r>
      <w:r>
        <w:rPr>
          <w:rFonts w:ascii="宋体" w:hAnsi="宋体" w:eastAsia="宋体" w:cs="宋体"/>
          <w:kern w:val="0"/>
          <w:sz w:val="24"/>
        </w:rPr>
        <w:drawing>
          <wp:inline distT="0" distB="0" distL="114300" distR="114300">
            <wp:extent cx="5287645" cy="2568575"/>
            <wp:effectExtent l="0" t="0" r="8255" b="3175"/>
            <wp:docPr id="249"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6" descr="IMG_256"/>
                    <pic:cNvPicPr>
                      <a:picLocks noChangeAspect="1"/>
                    </pic:cNvPicPr>
                  </pic:nvPicPr>
                  <pic:blipFill>
                    <a:blip r:embed="rId16"/>
                    <a:stretch>
                      <a:fillRect/>
                    </a:stretch>
                  </pic:blipFill>
                  <pic:spPr>
                    <a:xfrm>
                      <a:off x="0" y="0"/>
                      <a:ext cx="5287645" cy="2568575"/>
                    </a:xfrm>
                    <a:prstGeom prst="rect">
                      <a:avLst/>
                    </a:prstGeom>
                    <a:noFill/>
                    <a:ln w="9525">
                      <a:noFill/>
                    </a:ln>
                  </pic:spPr>
                </pic:pic>
              </a:graphicData>
            </a:graphic>
          </wp:inline>
        </w:drawing>
      </w:r>
      <w:r>
        <w:rPr>
          <w:rFonts w:ascii="宋体" w:hAnsi="宋体" w:eastAsia="宋体" w:cs="宋体"/>
          <w:kern w:val="0"/>
          <w:sz w:val="24"/>
          <w:lang w:bidi="ar"/>
        </w:rPr>
        <w:fldChar w:fldCharType="end"/>
      </w:r>
    </w:p>
    <w:p>
      <w:pPr>
        <w:widowControl/>
        <w:jc w:val="center"/>
      </w:pPr>
      <w:r>
        <w:rPr>
          <w:rFonts w:ascii="宋体" w:hAnsi="宋体" w:eastAsia="宋体" w:cs="宋体"/>
          <w:kern w:val="0"/>
          <w:sz w:val="24"/>
          <w:lang w:bidi="ar"/>
        </w:rPr>
        <w:fldChar w:fldCharType="begin"/>
      </w:r>
      <w:r>
        <w:rPr>
          <w:rFonts w:ascii="宋体" w:hAnsi="宋体" w:eastAsia="宋体" w:cs="宋体"/>
          <w:kern w:val="0"/>
          <w:sz w:val="24"/>
          <w:lang w:bidi="ar"/>
        </w:rPr>
        <w:instrText xml:space="preserve">INCLUDEPICTURE \d "E:\\UserData\\My Documents\\Tencent Files\\406890627\\Image\\C2C\\[67J9Y91@C6U5K3SKZ6ZDCR.png" \* MERGEFORMATINET </w:instrText>
      </w:r>
      <w:r>
        <w:rPr>
          <w:rFonts w:ascii="宋体" w:hAnsi="宋体" w:eastAsia="宋体" w:cs="宋体"/>
          <w:kern w:val="0"/>
          <w:sz w:val="24"/>
          <w:lang w:bidi="ar"/>
        </w:rPr>
        <w:fldChar w:fldCharType="separate"/>
      </w:r>
      <w:r>
        <w:rPr>
          <w:rFonts w:ascii="宋体" w:hAnsi="宋体" w:eastAsia="宋体" w:cs="宋体"/>
          <w:kern w:val="0"/>
          <w:sz w:val="24"/>
        </w:rPr>
        <w:drawing>
          <wp:inline distT="0" distB="0" distL="114300" distR="114300">
            <wp:extent cx="5465445" cy="2536825"/>
            <wp:effectExtent l="0" t="0" r="1905" b="15875"/>
            <wp:docPr id="25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7" descr="IMG_256"/>
                    <pic:cNvPicPr>
                      <a:picLocks noChangeAspect="1"/>
                    </pic:cNvPicPr>
                  </pic:nvPicPr>
                  <pic:blipFill>
                    <a:blip r:embed="rId17"/>
                    <a:stretch>
                      <a:fillRect/>
                    </a:stretch>
                  </pic:blipFill>
                  <pic:spPr>
                    <a:xfrm>
                      <a:off x="0" y="0"/>
                      <a:ext cx="5465445" cy="2536825"/>
                    </a:xfrm>
                    <a:prstGeom prst="rect">
                      <a:avLst/>
                    </a:prstGeom>
                    <a:noFill/>
                    <a:ln w="9525">
                      <a:noFill/>
                    </a:ln>
                  </pic:spPr>
                </pic:pic>
              </a:graphicData>
            </a:graphic>
          </wp:inline>
        </w:drawing>
      </w:r>
      <w:r>
        <w:rPr>
          <w:rFonts w:ascii="宋体" w:hAnsi="宋体" w:eastAsia="宋体" w:cs="宋体"/>
          <w:kern w:val="0"/>
          <w:sz w:val="24"/>
          <w:lang w:bidi="ar"/>
        </w:rPr>
        <w:fldChar w:fldCharType="end"/>
      </w:r>
    </w:p>
    <w:p>
      <w:pPr>
        <w:widowControl/>
        <w:numPr>
          <w:ilvl w:val="0"/>
          <w:numId w:val="2"/>
        </w:numPr>
        <w:spacing w:line="360" w:lineRule="auto"/>
        <w:ind w:firstLine="420" w:firstLineChars="200"/>
        <w:jc w:val="left"/>
        <w:rPr>
          <w:rFonts w:ascii="宋体" w:hAnsi="宋体" w:eastAsia="宋体" w:cs="宋体"/>
          <w:kern w:val="0"/>
          <w:szCs w:val="21"/>
          <w:lang w:bidi="ar"/>
        </w:rPr>
      </w:pPr>
      <w:r>
        <w:rPr>
          <w:rFonts w:hint="eastAsia" w:ascii="宋体" w:hAnsi="宋体" w:eastAsia="宋体" w:cs="宋体"/>
          <w:kern w:val="0"/>
          <w:szCs w:val="21"/>
          <w:lang w:bidi="ar"/>
        </w:rPr>
        <w:t>数据库课程数据对接</w:t>
      </w:r>
    </w:p>
    <w:p>
      <w:pPr>
        <w:widowControl/>
        <w:spacing w:line="360" w:lineRule="auto"/>
        <w:ind w:left="420" w:leftChars="200" w:firstLine="420" w:firstLineChars="200"/>
        <w:jc w:val="left"/>
      </w:pPr>
      <w:r>
        <w:rPr>
          <w:rFonts w:hint="eastAsia" w:ascii="宋体" w:hAnsi="宋体" w:eastAsia="宋体" w:cs="宋体"/>
          <w:kern w:val="0"/>
          <w:szCs w:val="21"/>
          <w:lang w:bidi="ar"/>
        </w:rPr>
        <w:t>由学校提供智慧校园系统中需要的相应课表字段，通过学校现有数据库对课程数据进行对接。</w:t>
      </w:r>
    </w:p>
    <w:p>
      <w:pPr>
        <w:pStyle w:val="4"/>
        <w:ind w:left="422" w:leftChars="201"/>
        <w:rPr>
          <w:rFonts w:asciiTheme="majorEastAsia" w:hAnsiTheme="majorEastAsia" w:eastAsiaTheme="majorEastAsia" w:cstheme="majorEastAsia"/>
          <w:szCs w:val="32"/>
        </w:rPr>
      </w:pPr>
      <w:bookmarkStart w:id="42" w:name="_Toc429667203"/>
      <w:bookmarkStart w:id="43" w:name="_Toc6501"/>
      <w:r>
        <w:rPr>
          <w:rFonts w:hint="eastAsia" w:asciiTheme="majorEastAsia" w:hAnsiTheme="majorEastAsia" w:eastAsiaTheme="majorEastAsia" w:cstheme="majorEastAsia"/>
          <w:szCs w:val="32"/>
        </w:rPr>
        <w:t>6.2宣传图片：</w:t>
      </w:r>
      <w:bookmarkEnd w:id="42"/>
      <w:bookmarkEnd w:id="43"/>
    </w:p>
    <w:p>
      <w:pPr>
        <w:spacing w:line="360" w:lineRule="auto"/>
        <w:ind w:firstLine="465"/>
        <w:rPr>
          <w:rFonts w:ascii="宋体"/>
          <w:szCs w:val="21"/>
        </w:rPr>
      </w:pPr>
      <w:r>
        <w:rPr>
          <w:rFonts w:hint="eastAsia" w:ascii="宋体"/>
          <w:szCs w:val="21"/>
        </w:rPr>
        <w:t>统一管理宣传图片资源库和教室播放查询，共两个标签：图片资源、正在播放</w:t>
      </w:r>
    </w:p>
    <w:p>
      <w:pPr>
        <w:spacing w:line="360" w:lineRule="auto"/>
        <w:ind w:firstLine="465"/>
        <w:rPr>
          <w:szCs w:val="21"/>
        </w:rPr>
      </w:pPr>
      <w:r>
        <w:rPr>
          <w:rFonts w:hint="eastAsia"/>
          <w:szCs w:val="21"/>
        </w:rPr>
        <w:t>A、图片资源：</w:t>
      </w:r>
    </w:p>
    <w:p>
      <w:pPr>
        <w:spacing w:line="360" w:lineRule="auto"/>
        <w:ind w:firstLine="465"/>
        <w:rPr>
          <w:rFonts w:ascii="宋体"/>
          <w:b/>
          <w:szCs w:val="21"/>
        </w:rPr>
      </w:pPr>
      <w:r>
        <w:rPr>
          <w:rFonts w:hint="eastAsia"/>
          <w:szCs w:val="21"/>
        </w:rPr>
        <w:t>通过图片资源库，为学校日常的图片管理提供类似相册功能，进行快捷的维护和下传显示。</w:t>
      </w:r>
    </w:p>
    <w:p>
      <w:pPr>
        <w:spacing w:line="360" w:lineRule="auto"/>
        <w:ind w:firstLine="465"/>
        <w:rPr>
          <w:rFonts w:ascii="宋体"/>
          <w:szCs w:val="21"/>
        </w:rPr>
      </w:pPr>
      <w:r>
        <w:rPr>
          <w:rFonts w:hint="eastAsia" w:ascii="宋体"/>
          <w:szCs w:val="21"/>
        </w:rPr>
        <w:t>图片资源分为</w:t>
      </w:r>
      <w:r>
        <w:rPr>
          <w:rFonts w:hint="eastAsia" w:ascii="宋体"/>
          <w:b/>
          <w:szCs w:val="21"/>
        </w:rPr>
        <w:t>公共资源和班级相册</w:t>
      </w:r>
      <w:r>
        <w:rPr>
          <w:rFonts w:hint="eastAsia" w:ascii="宋体"/>
          <w:szCs w:val="21"/>
        </w:rPr>
        <w:t>：公共资源由管理员上传，共享；班级相册为本班班主任上传，个人及管理员可使用。</w:t>
      </w:r>
    </w:p>
    <w:p>
      <w:pPr>
        <w:widowControl/>
        <w:jc w:val="center"/>
      </w:pPr>
      <w:r>
        <w:rPr>
          <w:rFonts w:hint="eastAsia"/>
        </w:rPr>
        <w:drawing>
          <wp:inline distT="0" distB="0" distL="114300" distR="114300">
            <wp:extent cx="4872990" cy="2741295"/>
            <wp:effectExtent l="0" t="0" r="3810" b="1905"/>
            <wp:docPr id="252" name="图片 252" descr="媒体_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媒体_图片"/>
                    <pic:cNvPicPr>
                      <a:picLocks noChangeAspect="1"/>
                    </pic:cNvPicPr>
                  </pic:nvPicPr>
                  <pic:blipFill>
                    <a:blip r:embed="rId18"/>
                    <a:stretch>
                      <a:fillRect/>
                    </a:stretch>
                  </pic:blipFill>
                  <pic:spPr>
                    <a:xfrm>
                      <a:off x="0" y="0"/>
                      <a:ext cx="4872990" cy="2741295"/>
                    </a:xfrm>
                    <a:prstGeom prst="rect">
                      <a:avLst/>
                    </a:prstGeom>
                  </pic:spPr>
                </pic:pic>
              </a:graphicData>
            </a:graphic>
          </wp:inline>
        </w:drawing>
      </w:r>
    </w:p>
    <w:p>
      <w:pPr>
        <w:spacing w:line="360" w:lineRule="auto"/>
        <w:ind w:left="424" w:hanging="424" w:hangingChars="201"/>
        <w:rPr>
          <w:szCs w:val="21"/>
        </w:rPr>
      </w:pPr>
      <w:r>
        <w:rPr>
          <w:rFonts w:hint="eastAsia" w:ascii="宋体"/>
          <w:b/>
          <w:szCs w:val="21"/>
        </w:rPr>
        <w:t>B、</w:t>
      </w:r>
      <w:r>
        <w:rPr>
          <w:rFonts w:hint="eastAsia"/>
          <w:szCs w:val="21"/>
        </w:rPr>
        <w:t>正在播放：</w:t>
      </w:r>
    </w:p>
    <w:p>
      <w:pPr>
        <w:spacing w:line="360" w:lineRule="auto"/>
        <w:ind w:firstLine="420" w:firstLineChars="200"/>
        <w:rPr>
          <w:szCs w:val="21"/>
        </w:rPr>
      </w:pPr>
      <w:r>
        <w:rPr>
          <w:rFonts w:hint="eastAsia"/>
          <w:szCs w:val="21"/>
        </w:rPr>
        <w:t>通过此界面，为日常的播放管理提供方便，可快捷的查看到每台设备中正在播放的图片，并进行管理工作。</w:t>
      </w:r>
    </w:p>
    <w:p>
      <w:pPr>
        <w:spacing w:line="360" w:lineRule="auto"/>
        <w:ind w:firstLine="465"/>
        <w:rPr>
          <w:rFonts w:ascii="宋体"/>
        </w:rPr>
      </w:pPr>
    </w:p>
    <w:p>
      <w:pPr>
        <w:pStyle w:val="4"/>
        <w:ind w:left="422" w:leftChars="201"/>
        <w:rPr>
          <w:rFonts w:asciiTheme="majorEastAsia" w:hAnsiTheme="majorEastAsia" w:eastAsiaTheme="majorEastAsia" w:cstheme="majorEastAsia"/>
          <w:szCs w:val="32"/>
        </w:rPr>
      </w:pPr>
      <w:bookmarkStart w:id="44" w:name="_Toc429667204"/>
      <w:bookmarkStart w:id="45" w:name="_Toc7478"/>
      <w:r>
        <w:rPr>
          <w:rFonts w:hint="eastAsia" w:asciiTheme="majorEastAsia" w:hAnsiTheme="majorEastAsia" w:eastAsiaTheme="majorEastAsia" w:cstheme="majorEastAsia"/>
          <w:szCs w:val="32"/>
        </w:rPr>
        <w:t>6.3调查问卷：</w:t>
      </w:r>
      <w:bookmarkEnd w:id="44"/>
      <w:bookmarkEnd w:id="45"/>
    </w:p>
    <w:p>
      <w:pPr>
        <w:ind w:firstLine="371" w:firstLineChars="177"/>
        <w:rPr>
          <w:rFonts w:ascii="宋体"/>
          <w:szCs w:val="21"/>
        </w:rPr>
      </w:pPr>
      <w:r>
        <w:rPr>
          <w:rFonts w:hint="eastAsia" w:ascii="宋体" w:hAnsi="宋体"/>
          <w:szCs w:val="21"/>
        </w:rPr>
        <w:t>A、学校可在平台建立调查题库并指定进行调查的教室</w:t>
      </w:r>
    </w:p>
    <w:p>
      <w:pPr>
        <w:widowControl/>
        <w:jc w:val="left"/>
      </w:pPr>
      <w:r>
        <w:rPr>
          <w:rFonts w:hint="eastAsia"/>
        </w:rPr>
        <w:drawing>
          <wp:inline distT="0" distB="0" distL="114300" distR="114300">
            <wp:extent cx="5266055" cy="2962275"/>
            <wp:effectExtent l="0" t="0" r="10795" b="9525"/>
            <wp:docPr id="251" name="图片 251" descr="调查问卷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调查问卷02"/>
                    <pic:cNvPicPr>
                      <a:picLocks noChangeAspect="1"/>
                    </pic:cNvPicPr>
                  </pic:nvPicPr>
                  <pic:blipFill>
                    <a:blip r:embed="rId19"/>
                    <a:stretch>
                      <a:fillRect/>
                    </a:stretch>
                  </pic:blipFill>
                  <pic:spPr>
                    <a:xfrm>
                      <a:off x="0" y="0"/>
                      <a:ext cx="5266055" cy="2962275"/>
                    </a:xfrm>
                    <a:prstGeom prst="rect">
                      <a:avLst/>
                    </a:prstGeom>
                  </pic:spPr>
                </pic:pic>
              </a:graphicData>
            </a:graphic>
          </wp:inline>
        </w:drawing>
      </w:r>
    </w:p>
    <w:p/>
    <w:p>
      <w:pPr>
        <w:spacing w:line="360" w:lineRule="auto"/>
        <w:ind w:firstLine="420" w:firstLineChars="200"/>
        <w:rPr>
          <w:rFonts w:ascii="宋体"/>
          <w:sz w:val="24"/>
        </w:rPr>
      </w:pPr>
      <w:r>
        <w:rPr>
          <w:rFonts w:hint="eastAsia" w:ascii="宋体" w:hAnsi="宋体"/>
          <w:szCs w:val="21"/>
        </w:rPr>
        <w:t>B、当学校下传调查问卷任务时，屏幕在调查问卷的有效期内显示问题及选项</w:t>
      </w:r>
    </w:p>
    <w:p>
      <w:pPr>
        <w:spacing w:line="360" w:lineRule="auto"/>
        <w:ind w:firstLine="420" w:firstLineChars="200"/>
        <w:rPr>
          <w:rFonts w:ascii="宋体"/>
          <w:szCs w:val="21"/>
        </w:rPr>
      </w:pPr>
      <w:r>
        <w:rPr>
          <w:rFonts w:hint="eastAsia" w:ascii="宋体" w:hAnsi="宋体"/>
          <w:szCs w:val="21"/>
        </w:rPr>
        <w:t>学生可操作设备进行投票，学生可直接按上下键进行选择，选择后按</w:t>
      </w:r>
      <w:r>
        <w:rPr>
          <w:rFonts w:ascii="宋体" w:hAnsi="宋体"/>
          <w:szCs w:val="21"/>
        </w:rPr>
        <w:t>ENT</w:t>
      </w:r>
      <w:r>
        <w:rPr>
          <w:rFonts w:hint="eastAsia" w:ascii="宋体" w:hAnsi="宋体"/>
          <w:szCs w:val="21"/>
        </w:rPr>
        <w:t>键确认，然后提醒‘请刷卡确认投票（请在</w:t>
      </w:r>
      <w:r>
        <w:rPr>
          <w:rFonts w:ascii="宋体" w:hAnsi="宋体"/>
          <w:szCs w:val="21"/>
        </w:rPr>
        <w:t>10</w:t>
      </w:r>
      <w:r>
        <w:rPr>
          <w:rFonts w:hint="eastAsia" w:ascii="宋体" w:hAnsi="宋体"/>
          <w:szCs w:val="21"/>
        </w:rPr>
        <w:t>秒内刷卡确认）’可</w:t>
      </w:r>
      <w:r>
        <w:rPr>
          <w:rFonts w:ascii="宋体" w:hAnsi="宋体"/>
          <w:szCs w:val="21"/>
        </w:rPr>
        <w:t>ESC</w:t>
      </w:r>
      <w:r>
        <w:rPr>
          <w:rFonts w:hint="eastAsia" w:ascii="宋体" w:hAnsi="宋体"/>
          <w:szCs w:val="21"/>
        </w:rPr>
        <w:t>返回，刷卡成功，提示‘投票成功’并记录刷卡及投票信息。</w:t>
      </w:r>
    </w:p>
    <w:p>
      <w:pPr>
        <w:autoSpaceDN w:val="0"/>
        <w:spacing w:line="360" w:lineRule="auto"/>
        <w:rPr>
          <w:rFonts w:ascii="宋体"/>
          <w:sz w:val="24"/>
        </w:rPr>
      </w:pPr>
      <w:r>
        <w:rPr>
          <w:rFonts w:ascii="宋体"/>
          <w:sz w:val="24"/>
        </w:rPr>
        <w:drawing>
          <wp:inline distT="0" distB="0" distL="114300" distR="114300">
            <wp:extent cx="5309235" cy="1550035"/>
            <wp:effectExtent l="0" t="0" r="5715" b="1206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0"/>
                    <a:stretch>
                      <a:fillRect/>
                    </a:stretch>
                  </pic:blipFill>
                  <pic:spPr>
                    <a:xfrm>
                      <a:off x="0" y="0"/>
                      <a:ext cx="5309235" cy="1550035"/>
                    </a:xfrm>
                    <a:prstGeom prst="rect">
                      <a:avLst/>
                    </a:prstGeom>
                    <a:noFill/>
                    <a:ln w="9525">
                      <a:noFill/>
                    </a:ln>
                  </pic:spPr>
                </pic:pic>
              </a:graphicData>
            </a:graphic>
          </wp:inline>
        </w:drawing>
      </w:r>
    </w:p>
    <w:p>
      <w:pPr>
        <w:spacing w:line="360" w:lineRule="auto"/>
        <w:ind w:firstLine="420" w:firstLineChars="200"/>
        <w:rPr>
          <w:rFonts w:ascii="宋体"/>
          <w:szCs w:val="21"/>
        </w:rPr>
      </w:pPr>
      <w:r>
        <w:rPr>
          <w:rFonts w:hint="eastAsia" w:ascii="宋体" w:hAnsi="宋体"/>
          <w:szCs w:val="21"/>
        </w:rPr>
        <w:t>C、查询调查结果，可进行实时查看，可直接打印或导出</w:t>
      </w:r>
      <w:r>
        <w:rPr>
          <w:rFonts w:ascii="宋体" w:hAnsi="宋体"/>
          <w:szCs w:val="21"/>
        </w:rPr>
        <w:t>EXCLE</w:t>
      </w:r>
      <w:r>
        <w:rPr>
          <w:rFonts w:hint="eastAsia" w:ascii="宋体" w:hAnsi="宋体"/>
          <w:szCs w:val="21"/>
        </w:rPr>
        <w:t>，后期可增加</w:t>
      </w:r>
      <w:r>
        <w:rPr>
          <w:rFonts w:ascii="宋体" w:hAnsi="宋体"/>
          <w:szCs w:val="21"/>
        </w:rPr>
        <w:t>word</w:t>
      </w:r>
      <w:r>
        <w:rPr>
          <w:rFonts w:hint="eastAsia" w:ascii="宋体" w:hAnsi="宋体"/>
          <w:szCs w:val="21"/>
        </w:rPr>
        <w:t>、</w:t>
      </w:r>
      <w:r>
        <w:rPr>
          <w:rFonts w:ascii="宋体" w:hAnsi="宋体"/>
          <w:szCs w:val="21"/>
        </w:rPr>
        <w:t>pdf</w:t>
      </w:r>
      <w:r>
        <w:rPr>
          <w:rFonts w:hint="eastAsia" w:ascii="宋体" w:hAnsi="宋体"/>
          <w:szCs w:val="21"/>
        </w:rPr>
        <w:t>固定板式导出。</w:t>
      </w:r>
    </w:p>
    <w:p>
      <w:pPr>
        <w:pStyle w:val="4"/>
        <w:rPr>
          <w:rFonts w:asciiTheme="majorEastAsia" w:hAnsiTheme="majorEastAsia" w:eastAsiaTheme="majorEastAsia" w:cstheme="majorEastAsia"/>
          <w:szCs w:val="32"/>
        </w:rPr>
      </w:pPr>
      <w:bookmarkStart w:id="46" w:name="_Toc28279"/>
      <w:bookmarkStart w:id="47" w:name="_Toc429667205"/>
      <w:r>
        <w:rPr>
          <w:rFonts w:hint="eastAsia" w:asciiTheme="majorEastAsia" w:hAnsiTheme="majorEastAsia" w:eastAsiaTheme="majorEastAsia" w:cstheme="majorEastAsia"/>
          <w:szCs w:val="32"/>
        </w:rPr>
        <w:t>6.4通知发布：</w:t>
      </w:r>
      <w:bookmarkEnd w:id="46"/>
      <w:bookmarkEnd w:id="47"/>
    </w:p>
    <w:p>
      <w:pPr>
        <w:spacing w:line="360" w:lineRule="auto"/>
        <w:ind w:firstLine="420" w:firstLineChars="200"/>
        <w:rPr>
          <w:rFonts w:ascii="宋体" w:hAnsi="宋体"/>
          <w:szCs w:val="21"/>
        </w:rPr>
      </w:pPr>
      <w:r>
        <w:rPr>
          <w:rFonts w:hint="eastAsia" w:ascii="宋体" w:hAnsi="宋体"/>
          <w:szCs w:val="21"/>
        </w:rPr>
        <w:t>包括自动通知和手动通知。</w:t>
      </w:r>
    </w:p>
    <w:p>
      <w:pPr>
        <w:spacing w:line="360" w:lineRule="auto"/>
        <w:ind w:firstLine="420" w:firstLineChars="200"/>
        <w:rPr>
          <w:rFonts w:ascii="宋体" w:hAnsi="宋体"/>
          <w:szCs w:val="21"/>
        </w:rPr>
      </w:pPr>
      <w:r>
        <w:rPr>
          <w:rFonts w:hint="eastAsia" w:ascii="宋体" w:hAnsi="宋体"/>
          <w:szCs w:val="21"/>
        </w:rPr>
        <w:t>手动通知参照下图方式建立，可设置通知内容及有效期，软件自动下传，终端进行显示。</w:t>
      </w:r>
    </w:p>
    <w:p>
      <w:pPr>
        <w:widowControl/>
        <w:jc w:val="left"/>
      </w:pPr>
      <w:r>
        <w:rPr>
          <w:rFonts w:ascii="宋体" w:hAnsi="宋体" w:eastAsia="宋体" w:cs="宋体"/>
          <w:kern w:val="0"/>
          <w:sz w:val="24"/>
        </w:rPr>
        <w:drawing>
          <wp:inline distT="0" distB="0" distL="114300" distR="114300">
            <wp:extent cx="5368290" cy="2399030"/>
            <wp:effectExtent l="0" t="0" r="3810" b="1270"/>
            <wp:docPr id="3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IMG_256"/>
                    <pic:cNvPicPr>
                      <a:picLocks noChangeAspect="1"/>
                    </pic:cNvPicPr>
                  </pic:nvPicPr>
                  <pic:blipFill>
                    <a:blip r:embed="rId21"/>
                    <a:stretch>
                      <a:fillRect/>
                    </a:stretch>
                  </pic:blipFill>
                  <pic:spPr>
                    <a:xfrm>
                      <a:off x="0" y="0"/>
                      <a:ext cx="5368290" cy="2399030"/>
                    </a:xfrm>
                    <a:prstGeom prst="rect">
                      <a:avLst/>
                    </a:prstGeom>
                    <a:noFill/>
                    <a:ln w="9525">
                      <a:noFill/>
                    </a:ln>
                  </pic:spPr>
                </pic:pic>
              </a:graphicData>
            </a:graphic>
          </wp:inline>
        </w:drawing>
      </w:r>
    </w:p>
    <w:p>
      <w:pPr>
        <w:spacing w:line="360" w:lineRule="auto"/>
        <w:jc w:val="center"/>
        <w:rPr>
          <w:rFonts w:ascii="宋体" w:hAnsi="宋体"/>
          <w:sz w:val="24"/>
        </w:rPr>
      </w:pPr>
    </w:p>
    <w:p>
      <w:pPr>
        <w:spacing w:line="360" w:lineRule="auto"/>
        <w:ind w:firstLine="420" w:firstLineChars="200"/>
        <w:rPr>
          <w:rFonts w:ascii="宋体"/>
          <w:szCs w:val="21"/>
        </w:rPr>
      </w:pPr>
      <w:r>
        <w:rPr>
          <w:rFonts w:hint="eastAsia" w:ascii="宋体" w:hAnsi="宋体"/>
          <w:szCs w:val="21"/>
        </w:rPr>
        <w:t>自动通知由操作停课、补课或教室调整时，对应的内容自动生成并发送到对应的终端，自动通知内容生成规则：</w:t>
      </w:r>
    </w:p>
    <w:p>
      <w:pPr>
        <w:spacing w:line="360" w:lineRule="auto"/>
        <w:ind w:firstLine="420" w:firstLineChars="200"/>
        <w:rPr>
          <w:rFonts w:ascii="宋体"/>
          <w:szCs w:val="21"/>
        </w:rPr>
      </w:pPr>
      <w:r>
        <w:rPr>
          <w:rFonts w:hint="eastAsia" w:ascii="宋体" w:hAnsi="宋体"/>
          <w:szCs w:val="21"/>
        </w:rPr>
        <w:t>内容格式：</w:t>
      </w:r>
      <w:r>
        <w:rPr>
          <w:rFonts w:ascii="宋体" w:hAnsi="宋体"/>
          <w:szCs w:val="21"/>
        </w:rPr>
        <w:t>XX</w:t>
      </w:r>
      <w:r>
        <w:rPr>
          <w:rFonts w:hint="eastAsia" w:ascii="宋体" w:hAnsi="宋体"/>
          <w:szCs w:val="21"/>
        </w:rPr>
        <w:t>月</w:t>
      </w:r>
      <w:r>
        <w:rPr>
          <w:rFonts w:ascii="宋体" w:hAnsi="宋体"/>
          <w:szCs w:val="21"/>
        </w:rPr>
        <w:t>XX</w:t>
      </w:r>
      <w:r>
        <w:rPr>
          <w:rFonts w:hint="eastAsia" w:ascii="宋体" w:hAnsi="宋体"/>
          <w:szCs w:val="21"/>
        </w:rPr>
        <w:t>日，周</w:t>
      </w:r>
      <w:r>
        <w:rPr>
          <w:rFonts w:ascii="宋体" w:hAnsi="宋体"/>
          <w:szCs w:val="21"/>
        </w:rPr>
        <w:t>X</w:t>
      </w:r>
      <w:r>
        <w:rPr>
          <w:rFonts w:hint="eastAsia" w:ascii="宋体" w:hAnsi="宋体"/>
          <w:szCs w:val="21"/>
        </w:rPr>
        <w:t>，第</w:t>
      </w:r>
      <w:r>
        <w:rPr>
          <w:rFonts w:ascii="宋体" w:hAnsi="宋体"/>
          <w:szCs w:val="21"/>
        </w:rPr>
        <w:t>XX</w:t>
      </w:r>
      <w:r>
        <w:rPr>
          <w:rFonts w:hint="eastAsia" w:ascii="宋体" w:hAnsi="宋体"/>
          <w:szCs w:val="21"/>
        </w:rPr>
        <w:t>节</w:t>
      </w:r>
      <w:r>
        <w:rPr>
          <w:rFonts w:ascii="宋体" w:hAnsi="宋体"/>
          <w:szCs w:val="21"/>
        </w:rPr>
        <w:t>XXX</w:t>
      </w:r>
      <w:r>
        <w:rPr>
          <w:rFonts w:hint="eastAsia" w:ascii="宋体" w:hAnsi="宋体"/>
          <w:szCs w:val="21"/>
        </w:rPr>
        <w:t>（教师姓名）老师的《</w:t>
      </w:r>
      <w:r>
        <w:rPr>
          <w:rFonts w:ascii="宋体" w:hAnsi="宋体"/>
          <w:szCs w:val="21"/>
        </w:rPr>
        <w:t>XXXX</w:t>
      </w:r>
      <w:r>
        <w:rPr>
          <w:rFonts w:hint="eastAsia" w:ascii="宋体" w:hAnsi="宋体"/>
          <w:szCs w:val="21"/>
        </w:rPr>
        <w:t>》（课程名），，特此通知！</w:t>
      </w:r>
    </w:p>
    <w:p>
      <w:pPr>
        <w:spacing w:line="360" w:lineRule="auto"/>
        <w:ind w:firstLine="420" w:firstLineChars="200"/>
        <w:rPr>
          <w:rFonts w:ascii="宋体"/>
          <w:szCs w:val="21"/>
        </w:rPr>
      </w:pPr>
      <w:r>
        <w:rPr>
          <w:rFonts w:hint="eastAsia" w:ascii="宋体" w:hAnsi="宋体"/>
          <w:szCs w:val="21"/>
        </w:rPr>
        <w:t>例如：</w:t>
      </w:r>
    </w:p>
    <w:p>
      <w:pPr>
        <w:spacing w:line="360" w:lineRule="auto"/>
        <w:ind w:firstLine="420" w:firstLineChars="200"/>
        <w:rPr>
          <w:rFonts w:ascii="宋体"/>
          <w:szCs w:val="21"/>
        </w:rPr>
      </w:pPr>
      <w:r>
        <w:rPr>
          <w:rFonts w:ascii="宋体" w:hAnsi="宋体"/>
          <w:szCs w:val="21"/>
        </w:rPr>
        <w:t>04</w:t>
      </w:r>
      <w:r>
        <w:rPr>
          <w:rFonts w:hint="eastAsia" w:ascii="宋体" w:hAnsi="宋体"/>
          <w:szCs w:val="21"/>
        </w:rPr>
        <w:t>月</w:t>
      </w:r>
      <w:r>
        <w:rPr>
          <w:rFonts w:ascii="宋体" w:hAnsi="宋体"/>
          <w:szCs w:val="21"/>
        </w:rPr>
        <w:t>18</w:t>
      </w:r>
      <w:r>
        <w:rPr>
          <w:rFonts w:hint="eastAsia" w:ascii="宋体" w:hAnsi="宋体"/>
          <w:szCs w:val="21"/>
        </w:rPr>
        <w:t>日，周三，第</w:t>
      </w:r>
      <w:r>
        <w:rPr>
          <w:rFonts w:ascii="宋体" w:hAnsi="宋体"/>
          <w:szCs w:val="21"/>
        </w:rPr>
        <w:t>3-4</w:t>
      </w:r>
      <w:r>
        <w:rPr>
          <w:rFonts w:hint="eastAsia" w:ascii="宋体" w:hAnsi="宋体"/>
          <w:szCs w:val="21"/>
        </w:rPr>
        <w:t>节</w:t>
      </w:r>
      <w:r>
        <w:rPr>
          <w:rFonts w:ascii="宋体" w:hAnsi="宋体"/>
          <w:szCs w:val="21"/>
        </w:rPr>
        <w:t xml:space="preserve"> </w:t>
      </w:r>
      <w:r>
        <w:rPr>
          <w:rFonts w:hint="eastAsia" w:ascii="宋体" w:hAnsi="宋体"/>
          <w:szCs w:val="21"/>
        </w:rPr>
        <w:t>张卫东老师的《化学实验课》，</w:t>
      </w:r>
      <w:r>
        <w:rPr>
          <w:rFonts w:hint="eastAsia" w:ascii="宋体" w:hAnsi="宋体"/>
          <w:szCs w:val="21"/>
          <w:u w:val="single"/>
        </w:rPr>
        <w:t>上课教室调整为‘主楼</w:t>
      </w:r>
      <w:r>
        <w:rPr>
          <w:rFonts w:ascii="宋体" w:hAnsi="宋体"/>
          <w:szCs w:val="21"/>
          <w:u w:val="single"/>
        </w:rPr>
        <w:t xml:space="preserve">208 </w:t>
      </w:r>
      <w:r>
        <w:rPr>
          <w:rFonts w:hint="eastAsia" w:ascii="宋体" w:hAnsi="宋体"/>
          <w:szCs w:val="21"/>
          <w:u w:val="single"/>
        </w:rPr>
        <w:t>’</w:t>
      </w:r>
      <w:r>
        <w:rPr>
          <w:rFonts w:hint="eastAsia" w:ascii="宋体" w:hAnsi="宋体"/>
          <w:szCs w:val="21"/>
        </w:rPr>
        <w:t>，特此通知！</w:t>
      </w:r>
    </w:p>
    <w:p>
      <w:pPr>
        <w:spacing w:line="360" w:lineRule="auto"/>
        <w:ind w:firstLine="420" w:firstLineChars="200"/>
        <w:rPr>
          <w:rFonts w:ascii="宋体"/>
          <w:szCs w:val="21"/>
        </w:rPr>
      </w:pPr>
      <w:r>
        <w:rPr>
          <w:rFonts w:ascii="宋体" w:hAnsi="宋体"/>
          <w:szCs w:val="21"/>
        </w:rPr>
        <w:t>04</w:t>
      </w:r>
      <w:r>
        <w:rPr>
          <w:rFonts w:hint="eastAsia" w:ascii="宋体" w:hAnsi="宋体"/>
          <w:szCs w:val="21"/>
        </w:rPr>
        <w:t>月</w:t>
      </w:r>
      <w:r>
        <w:rPr>
          <w:rFonts w:ascii="宋体" w:hAnsi="宋体"/>
          <w:szCs w:val="21"/>
        </w:rPr>
        <w:t>18</w:t>
      </w:r>
      <w:r>
        <w:rPr>
          <w:rFonts w:hint="eastAsia" w:ascii="宋体" w:hAnsi="宋体"/>
          <w:szCs w:val="21"/>
        </w:rPr>
        <w:t>日，周三，第</w:t>
      </w:r>
      <w:r>
        <w:rPr>
          <w:rFonts w:ascii="宋体" w:hAnsi="宋体"/>
          <w:szCs w:val="21"/>
        </w:rPr>
        <w:t>3-4</w:t>
      </w:r>
      <w:r>
        <w:rPr>
          <w:rFonts w:hint="eastAsia" w:ascii="宋体" w:hAnsi="宋体"/>
          <w:szCs w:val="21"/>
        </w:rPr>
        <w:t>节</w:t>
      </w:r>
      <w:r>
        <w:rPr>
          <w:rFonts w:ascii="宋体" w:hAnsi="宋体"/>
          <w:szCs w:val="21"/>
        </w:rPr>
        <w:t xml:space="preserve"> </w:t>
      </w:r>
      <w:r>
        <w:rPr>
          <w:rFonts w:hint="eastAsia" w:ascii="宋体" w:hAnsi="宋体"/>
          <w:szCs w:val="21"/>
        </w:rPr>
        <w:t>张卫东老师的《化学实验课》，</w:t>
      </w:r>
      <w:r>
        <w:rPr>
          <w:rFonts w:hint="eastAsia" w:ascii="宋体" w:hAnsi="宋体"/>
          <w:szCs w:val="21"/>
          <w:u w:val="single"/>
        </w:rPr>
        <w:t>由王老五老师代课</w:t>
      </w:r>
      <w:r>
        <w:rPr>
          <w:rFonts w:hint="eastAsia" w:ascii="宋体" w:hAnsi="宋体"/>
          <w:szCs w:val="21"/>
        </w:rPr>
        <w:t>，特此通知！</w:t>
      </w:r>
      <w:r>
        <w:rPr>
          <w:rFonts w:ascii="宋体"/>
          <w:szCs w:val="21"/>
        </w:rPr>
        <w:t xml:space="preserve"> </w:t>
      </w:r>
    </w:p>
    <w:p>
      <w:pPr>
        <w:spacing w:line="360" w:lineRule="auto"/>
        <w:ind w:firstLine="420" w:firstLineChars="200"/>
        <w:rPr>
          <w:rFonts w:ascii="宋体"/>
          <w:szCs w:val="21"/>
        </w:rPr>
      </w:pPr>
      <w:r>
        <w:rPr>
          <w:rFonts w:ascii="宋体" w:hAnsi="宋体"/>
          <w:szCs w:val="21"/>
        </w:rPr>
        <w:t>04</w:t>
      </w:r>
      <w:r>
        <w:rPr>
          <w:rFonts w:hint="eastAsia" w:ascii="宋体" w:hAnsi="宋体"/>
          <w:szCs w:val="21"/>
        </w:rPr>
        <w:t>月</w:t>
      </w:r>
      <w:r>
        <w:rPr>
          <w:rFonts w:ascii="宋体" w:hAnsi="宋体"/>
          <w:szCs w:val="21"/>
        </w:rPr>
        <w:t>18</w:t>
      </w:r>
      <w:r>
        <w:rPr>
          <w:rFonts w:hint="eastAsia" w:ascii="宋体" w:hAnsi="宋体"/>
          <w:szCs w:val="21"/>
        </w:rPr>
        <w:t>日，周三，第</w:t>
      </w:r>
      <w:r>
        <w:rPr>
          <w:rFonts w:ascii="宋体" w:hAnsi="宋体"/>
          <w:szCs w:val="21"/>
        </w:rPr>
        <w:t>3-4</w:t>
      </w:r>
      <w:r>
        <w:rPr>
          <w:rFonts w:hint="eastAsia" w:ascii="宋体" w:hAnsi="宋体"/>
          <w:szCs w:val="21"/>
        </w:rPr>
        <w:t>节</w:t>
      </w:r>
      <w:r>
        <w:rPr>
          <w:rFonts w:ascii="宋体" w:hAnsi="宋体"/>
          <w:szCs w:val="21"/>
        </w:rPr>
        <w:t xml:space="preserve"> </w:t>
      </w:r>
      <w:r>
        <w:rPr>
          <w:rFonts w:hint="eastAsia" w:ascii="宋体" w:hAnsi="宋体"/>
          <w:szCs w:val="21"/>
        </w:rPr>
        <w:t>张卫东老师的《化学实验课》，</w:t>
      </w:r>
      <w:r>
        <w:rPr>
          <w:rFonts w:hint="eastAsia" w:ascii="宋体" w:hAnsi="宋体"/>
          <w:szCs w:val="21"/>
          <w:u w:val="single"/>
        </w:rPr>
        <w:t>课程调整为《物理实验课》</w:t>
      </w:r>
      <w:r>
        <w:rPr>
          <w:rFonts w:hint="eastAsia" w:ascii="宋体" w:hAnsi="宋体"/>
          <w:szCs w:val="21"/>
        </w:rPr>
        <w:t>，特此通知！（一期没有此通知）</w:t>
      </w:r>
    </w:p>
    <w:p>
      <w:pPr>
        <w:pStyle w:val="4"/>
        <w:rPr>
          <w:rFonts w:asciiTheme="majorEastAsia" w:hAnsiTheme="majorEastAsia" w:eastAsiaTheme="majorEastAsia" w:cstheme="majorEastAsia"/>
          <w:szCs w:val="32"/>
        </w:rPr>
      </w:pPr>
      <w:bookmarkStart w:id="48" w:name="_Toc16837"/>
      <w:bookmarkStart w:id="49" w:name="_Toc429667206"/>
      <w:r>
        <w:rPr>
          <w:rFonts w:hint="eastAsia" w:asciiTheme="majorEastAsia" w:hAnsiTheme="majorEastAsia" w:eastAsiaTheme="majorEastAsia" w:cstheme="majorEastAsia"/>
          <w:szCs w:val="32"/>
        </w:rPr>
        <w:t>6.5荣誉管理：</w:t>
      </w:r>
      <w:bookmarkEnd w:id="48"/>
      <w:bookmarkEnd w:id="49"/>
    </w:p>
    <w:p>
      <w:pPr>
        <w:spacing w:line="360" w:lineRule="auto"/>
        <w:rPr>
          <w:rFonts w:ascii="宋体"/>
        </w:rPr>
      </w:pPr>
      <w:r>
        <w:rPr>
          <w:rFonts w:ascii="宋体"/>
        </w:rPr>
        <w:drawing>
          <wp:inline distT="0" distB="0" distL="114300" distR="114300">
            <wp:extent cx="5266055" cy="2962275"/>
            <wp:effectExtent l="0" t="0" r="10795" b="9525"/>
            <wp:docPr id="247" name="图片 247" descr="班级荣誉_学习标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班级荣誉_学习标兵"/>
                    <pic:cNvPicPr>
                      <a:picLocks noChangeAspect="1"/>
                    </pic:cNvPicPr>
                  </pic:nvPicPr>
                  <pic:blipFill>
                    <a:blip r:embed="rId22"/>
                    <a:stretch>
                      <a:fillRect/>
                    </a:stretch>
                  </pic:blipFill>
                  <pic:spPr>
                    <a:xfrm>
                      <a:off x="0" y="0"/>
                      <a:ext cx="5266055" cy="2962275"/>
                    </a:xfrm>
                    <a:prstGeom prst="rect">
                      <a:avLst/>
                    </a:prstGeom>
                  </pic:spPr>
                </pic:pic>
              </a:graphicData>
            </a:graphic>
          </wp:inline>
        </w:drawing>
      </w:r>
      <w:r>
        <w:rPr>
          <w:rFonts w:ascii="宋体"/>
        </w:rPr>
        <w:t xml:space="preserve"> </w:t>
      </w:r>
    </w:p>
    <w:p>
      <w:pPr>
        <w:spacing w:line="360" w:lineRule="auto"/>
        <w:rPr>
          <w:rFonts w:ascii="宋体"/>
          <w:szCs w:val="21"/>
        </w:rPr>
      </w:pPr>
      <w:r>
        <w:rPr>
          <w:rFonts w:hint="eastAsia" w:ascii="宋体"/>
          <w:szCs w:val="21"/>
        </w:rPr>
        <w:t>可通过后台设置班级荣誉、个人荣誉，自动传输至班牌中进行显示。</w:t>
      </w:r>
    </w:p>
    <w:p>
      <w:pPr>
        <w:pStyle w:val="3"/>
        <w:numPr>
          <w:ilvl w:val="1"/>
          <w:numId w:val="0"/>
        </w:numPr>
        <w:tabs>
          <w:tab w:val="clear" w:pos="720"/>
        </w:tabs>
        <w:rPr>
          <w:rFonts w:asciiTheme="minorEastAsia" w:hAnsiTheme="minorEastAsia" w:eastAsiaTheme="minorEastAsia" w:cstheme="minorEastAsia"/>
        </w:rPr>
      </w:pPr>
      <w:bookmarkStart w:id="50" w:name="_Toc429667207"/>
      <w:bookmarkStart w:id="51" w:name="_Toc6940"/>
      <w:r>
        <w:rPr>
          <w:rFonts w:hint="eastAsia" w:asciiTheme="minorEastAsia" w:hAnsiTheme="minorEastAsia" w:eastAsiaTheme="minorEastAsia" w:cstheme="minorEastAsia"/>
        </w:rPr>
        <w:t>7终端设备</w:t>
      </w:r>
      <w:bookmarkEnd w:id="50"/>
      <w:bookmarkEnd w:id="51"/>
    </w:p>
    <w:p>
      <w:r>
        <w:drawing>
          <wp:inline distT="0" distB="0" distL="114300" distR="114300">
            <wp:extent cx="4895215" cy="2904490"/>
            <wp:effectExtent l="0" t="0" r="635" b="1016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6"/>
                    <a:stretch>
                      <a:fillRect/>
                    </a:stretch>
                  </pic:blipFill>
                  <pic:spPr>
                    <a:xfrm>
                      <a:off x="0" y="0"/>
                      <a:ext cx="4895215" cy="2904490"/>
                    </a:xfrm>
                    <a:prstGeom prst="rect">
                      <a:avLst/>
                    </a:prstGeom>
                    <a:noFill/>
                    <a:ln w="9525">
                      <a:noFill/>
                    </a:ln>
                  </pic:spPr>
                </pic:pic>
              </a:graphicData>
            </a:graphic>
          </wp:inline>
        </w:drawing>
      </w:r>
    </w:p>
    <w:p>
      <w:pPr>
        <w:spacing w:line="360" w:lineRule="auto"/>
        <w:ind w:firstLine="422" w:firstLineChars="200"/>
        <w:rPr>
          <w:rFonts w:ascii="宋体" w:hAnsi="宋体"/>
          <w:szCs w:val="21"/>
        </w:rPr>
      </w:pPr>
      <w:r>
        <w:rPr>
          <w:rFonts w:hint="eastAsia" w:ascii="宋体" w:hAnsi="宋体"/>
          <w:b/>
          <w:szCs w:val="21"/>
        </w:rPr>
        <w:t>物理键：</w:t>
      </w:r>
      <w:r>
        <w:rPr>
          <w:rFonts w:hint="eastAsia" w:ascii="宋体" w:hAnsi="宋体"/>
          <w:szCs w:val="21"/>
        </w:rPr>
        <w:t>开关设备电源</w:t>
      </w:r>
    </w:p>
    <w:p>
      <w:pPr>
        <w:spacing w:line="360" w:lineRule="auto"/>
        <w:ind w:firstLine="422" w:firstLineChars="200"/>
        <w:rPr>
          <w:rFonts w:ascii="宋体" w:hAnsi="宋体"/>
          <w:szCs w:val="21"/>
        </w:rPr>
      </w:pPr>
      <w:r>
        <w:rPr>
          <w:rFonts w:hint="eastAsia" w:ascii="宋体" w:hAnsi="宋体"/>
          <w:b/>
          <w:szCs w:val="21"/>
        </w:rPr>
        <w:t>ENT：</w:t>
      </w:r>
      <w:r>
        <w:rPr>
          <w:rFonts w:hint="eastAsia" w:ascii="宋体" w:hAnsi="宋体"/>
          <w:szCs w:val="21"/>
        </w:rPr>
        <w:t>确认功能键</w:t>
      </w:r>
    </w:p>
    <w:p>
      <w:pPr>
        <w:spacing w:line="360" w:lineRule="auto"/>
        <w:ind w:firstLine="422" w:firstLineChars="200"/>
        <w:rPr>
          <w:rFonts w:ascii="宋体" w:hAnsi="宋体"/>
          <w:szCs w:val="21"/>
        </w:rPr>
      </w:pPr>
      <w:r>
        <w:rPr>
          <w:rFonts w:hint="eastAsia" w:ascii="宋体" w:hAnsi="宋体"/>
          <w:b/>
          <w:szCs w:val="21"/>
        </w:rPr>
        <w:t>ESC：</w:t>
      </w:r>
      <w:r>
        <w:rPr>
          <w:rFonts w:hint="eastAsia" w:ascii="宋体" w:hAnsi="宋体"/>
          <w:szCs w:val="21"/>
        </w:rPr>
        <w:t>取消功能键</w:t>
      </w:r>
    </w:p>
    <w:p>
      <w:pPr>
        <w:spacing w:line="360" w:lineRule="auto"/>
        <w:ind w:firstLine="422" w:firstLineChars="200"/>
        <w:rPr>
          <w:rFonts w:ascii="宋体" w:hAnsi="宋体"/>
          <w:szCs w:val="21"/>
        </w:rPr>
      </w:pPr>
      <w:r>
        <w:rPr>
          <w:rFonts w:hint="eastAsia" w:ascii="宋体" w:hAnsi="宋体"/>
          <w:b/>
          <w:szCs w:val="21"/>
        </w:rPr>
        <w:t>↑↓：</w:t>
      </w:r>
      <w:r>
        <w:rPr>
          <w:rFonts w:hint="eastAsia" w:ascii="宋体" w:hAnsi="宋体"/>
          <w:szCs w:val="21"/>
        </w:rPr>
        <w:t>选项功能键，调查或其他功能时，选择下（上）一条。</w:t>
      </w:r>
    </w:p>
    <w:p>
      <w:pPr>
        <w:spacing w:line="360" w:lineRule="auto"/>
        <w:ind w:firstLine="420" w:firstLineChars="200"/>
        <w:rPr>
          <w:rFonts w:ascii="宋体" w:hAnsi="宋体"/>
          <w:szCs w:val="21"/>
        </w:rPr>
      </w:pPr>
      <w:r>
        <w:rPr>
          <w:rFonts w:hint="eastAsia" w:ascii="宋体" w:hAnsi="宋体"/>
          <w:szCs w:val="21"/>
        </w:rPr>
        <w:t>终端显示：</w:t>
      </w:r>
    </w:p>
    <w:p>
      <w:pPr>
        <w:ind w:firstLine="435"/>
        <w:jc w:val="left"/>
        <w:rPr>
          <w:rFonts w:ascii="宋体" w:hAnsi="宋体"/>
          <w:sz w:val="24"/>
        </w:rPr>
      </w:pPr>
      <w:r>
        <w:drawing>
          <wp:inline distT="0" distB="0" distL="114300" distR="114300">
            <wp:extent cx="5045075" cy="2836545"/>
            <wp:effectExtent l="0" t="0" r="3175" b="190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3"/>
                    <a:stretch>
                      <a:fillRect/>
                    </a:stretch>
                  </pic:blipFill>
                  <pic:spPr>
                    <a:xfrm>
                      <a:off x="0" y="0"/>
                      <a:ext cx="5045075" cy="2836545"/>
                    </a:xfrm>
                    <a:prstGeom prst="rect">
                      <a:avLst/>
                    </a:prstGeom>
                    <a:noFill/>
                    <a:ln w="9525">
                      <a:noFill/>
                    </a:ln>
                  </pic:spPr>
                </pic:pic>
              </a:graphicData>
            </a:graphic>
          </wp:inline>
        </w:drawing>
      </w:r>
    </w:p>
    <w:p>
      <w:pPr>
        <w:rPr>
          <w:rFonts w:ascii="宋体" w:hAnsi="宋体"/>
          <w:szCs w:val="21"/>
        </w:rPr>
      </w:pPr>
      <w:r>
        <w:rPr>
          <w:rFonts w:hint="eastAsia" w:ascii="宋体" w:hAnsi="宋体"/>
          <w:szCs w:val="21"/>
        </w:rPr>
        <w:t>学生考勤界面：</w:t>
      </w:r>
    </w:p>
    <w:p>
      <w:pPr>
        <w:spacing w:line="360" w:lineRule="auto"/>
        <w:rPr>
          <w:rFonts w:ascii="宋体" w:hAnsi="宋体"/>
          <w:b/>
          <w:bCs/>
          <w:szCs w:val="21"/>
        </w:rPr>
      </w:pPr>
    </w:p>
    <w:p>
      <w:pPr>
        <w:spacing w:line="360" w:lineRule="auto"/>
        <w:rPr>
          <w:rFonts w:ascii="宋体" w:hAnsi="宋体"/>
          <w:b/>
          <w:bCs/>
          <w:szCs w:val="21"/>
        </w:rPr>
      </w:pPr>
      <w:r>
        <w:drawing>
          <wp:anchor distT="0" distB="0" distL="114300" distR="114300" simplePos="0" relativeHeight="251670528" behindDoc="0" locked="0" layoutInCell="1" allowOverlap="1">
            <wp:simplePos x="0" y="0"/>
            <wp:positionH relativeFrom="column">
              <wp:posOffset>241935</wp:posOffset>
            </wp:positionH>
            <wp:positionV relativeFrom="paragraph">
              <wp:posOffset>184150</wp:posOffset>
            </wp:positionV>
            <wp:extent cx="5120640" cy="3282950"/>
            <wp:effectExtent l="0" t="0" r="3810" b="12700"/>
            <wp:wrapSquare wrapText="bothSides"/>
            <wp:docPr id="2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5"/>
                    <pic:cNvPicPr>
                      <a:picLocks noChangeAspect="1"/>
                    </pic:cNvPicPr>
                  </pic:nvPicPr>
                  <pic:blipFill>
                    <a:blip r:embed="rId24"/>
                    <a:stretch>
                      <a:fillRect/>
                    </a:stretch>
                  </pic:blipFill>
                  <pic:spPr>
                    <a:xfrm>
                      <a:off x="0" y="0"/>
                      <a:ext cx="5120640" cy="3282950"/>
                    </a:xfrm>
                    <a:prstGeom prst="rect">
                      <a:avLst/>
                    </a:prstGeom>
                    <a:noFill/>
                    <a:ln w="9525">
                      <a:noFill/>
                    </a:ln>
                  </pic:spPr>
                </pic:pic>
              </a:graphicData>
            </a:graphic>
          </wp:anchor>
        </w:drawing>
      </w:r>
    </w:p>
    <w:p>
      <w:pPr>
        <w:spacing w:line="360" w:lineRule="auto"/>
        <w:rPr>
          <w:rFonts w:ascii="宋体" w:hAnsi="宋体"/>
          <w:b/>
          <w:bCs/>
          <w:szCs w:val="21"/>
        </w:rPr>
      </w:pPr>
    </w:p>
    <w:p>
      <w:pPr>
        <w:spacing w:line="360" w:lineRule="auto"/>
        <w:rPr>
          <w:rFonts w:ascii="宋体" w:hAnsi="宋体"/>
          <w:b/>
          <w:bCs/>
          <w:szCs w:val="21"/>
        </w:rPr>
      </w:pPr>
    </w:p>
    <w:p>
      <w:pPr>
        <w:spacing w:line="360" w:lineRule="auto"/>
        <w:rPr>
          <w:rFonts w:ascii="宋体" w:hAnsi="宋体"/>
          <w:b/>
          <w:bCs/>
          <w:szCs w:val="21"/>
        </w:rPr>
      </w:pPr>
    </w:p>
    <w:p>
      <w:pPr>
        <w:spacing w:line="360" w:lineRule="auto"/>
        <w:rPr>
          <w:rFonts w:ascii="宋体" w:hAnsi="宋体"/>
          <w:b/>
          <w:bCs/>
          <w:szCs w:val="21"/>
        </w:rPr>
      </w:pPr>
      <w:r>
        <w:rPr>
          <w:rFonts w:hint="eastAsia" w:ascii="宋体" w:hAnsi="宋体"/>
          <w:b/>
          <w:bCs/>
          <w:szCs w:val="21"/>
        </w:rPr>
        <w:t>智慧班牌设备参数：</w:t>
      </w:r>
    </w:p>
    <w:tbl>
      <w:tblPr>
        <w:tblStyle w:val="8"/>
        <w:tblW w:w="9946" w:type="dxa"/>
        <w:jc w:val="center"/>
        <w:tblInd w:w="-1549" w:type="dxa"/>
        <w:tblLayout w:type="fixed"/>
        <w:tblCellMar>
          <w:top w:w="15" w:type="dxa"/>
          <w:left w:w="15" w:type="dxa"/>
          <w:bottom w:w="15" w:type="dxa"/>
          <w:right w:w="15" w:type="dxa"/>
        </w:tblCellMar>
      </w:tblPr>
      <w:tblGrid>
        <w:gridCol w:w="494"/>
        <w:gridCol w:w="300"/>
        <w:gridCol w:w="1337"/>
        <w:gridCol w:w="2613"/>
        <w:gridCol w:w="2587"/>
        <w:gridCol w:w="2615"/>
      </w:tblGrid>
      <w:tr>
        <w:tblPrEx>
          <w:tblLayout w:type="fixed"/>
          <w:tblCellMar>
            <w:top w:w="15" w:type="dxa"/>
            <w:left w:w="15" w:type="dxa"/>
            <w:bottom w:w="15" w:type="dxa"/>
            <w:right w:w="15" w:type="dxa"/>
          </w:tblCellMar>
        </w:tblPrEx>
        <w:trPr>
          <w:trHeight w:val="692"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CFCECE" w:themeFill="background2" w:themeFillShade="E5"/>
            <w:vAlign w:val="center"/>
          </w:tcPr>
          <w:p>
            <w:pPr>
              <w:jc w:val="center"/>
              <w:rPr>
                <w:rFonts w:ascii="微软雅黑" w:hAnsi="微软雅黑" w:eastAsia="微软雅黑" w:cs="微软雅黑"/>
                <w:b/>
                <w:color w:val="000000"/>
                <w:sz w:val="22"/>
                <w:szCs w:val="22"/>
              </w:rPr>
            </w:pPr>
          </w:p>
        </w:tc>
        <w:tc>
          <w:tcPr>
            <w:tcW w:w="2613" w:type="dxa"/>
            <w:tcBorders>
              <w:top w:val="single" w:color="000000" w:sz="4" w:space="0"/>
              <w:left w:val="single" w:color="000000" w:sz="4" w:space="0"/>
              <w:bottom w:val="single" w:color="000000" w:sz="4" w:space="0"/>
              <w:right w:val="single" w:color="000000" w:sz="4" w:space="0"/>
            </w:tcBorders>
            <w:shd w:val="clear" w:color="auto" w:fill="CFCECE" w:themeFill="background2" w:themeFillShade="E5"/>
            <w:vAlign w:val="center"/>
          </w:tcPr>
          <w:p>
            <w:pPr>
              <w:widowControl/>
              <w:jc w:val="center"/>
              <w:textAlignment w:val="center"/>
              <w:rPr>
                <w:rFonts w:ascii="微软雅黑" w:hAnsi="微软雅黑" w:eastAsia="微软雅黑" w:cs="微软雅黑"/>
                <w:b/>
                <w:color w:val="000000"/>
                <w:sz w:val="22"/>
                <w:szCs w:val="22"/>
              </w:rPr>
            </w:pPr>
            <w:r>
              <w:rPr>
                <w:rFonts w:hint="eastAsia" w:ascii="微软雅黑" w:hAnsi="微软雅黑" w:eastAsia="微软雅黑" w:cs="微软雅黑"/>
                <w:b/>
                <w:color w:val="000000"/>
                <w:kern w:val="0"/>
                <w:sz w:val="22"/>
                <w:szCs w:val="22"/>
                <w:lang w:bidi="ar"/>
              </w:rPr>
              <w:t>21电子班牌终端参数表</w:t>
            </w:r>
          </w:p>
        </w:tc>
        <w:tc>
          <w:tcPr>
            <w:tcW w:w="2587" w:type="dxa"/>
            <w:tcBorders>
              <w:top w:val="single" w:color="000000" w:sz="4" w:space="0"/>
              <w:left w:val="single" w:color="000000" w:sz="4" w:space="0"/>
              <w:bottom w:val="single" w:color="000000" w:sz="4" w:space="0"/>
              <w:right w:val="single" w:color="000000" w:sz="4" w:space="0"/>
            </w:tcBorders>
            <w:shd w:val="clear" w:color="auto" w:fill="CFCECE" w:themeFill="background2" w:themeFillShade="E5"/>
            <w:vAlign w:val="center"/>
          </w:tcPr>
          <w:p>
            <w:pPr>
              <w:widowControl/>
              <w:jc w:val="center"/>
              <w:textAlignment w:val="center"/>
              <w:rPr>
                <w:rFonts w:ascii="微软雅黑" w:hAnsi="微软雅黑" w:eastAsia="微软雅黑" w:cs="微软雅黑"/>
                <w:b/>
                <w:color w:val="000000"/>
                <w:sz w:val="22"/>
                <w:szCs w:val="22"/>
              </w:rPr>
            </w:pPr>
            <w:r>
              <w:rPr>
                <w:rFonts w:hint="eastAsia" w:ascii="微软雅黑" w:hAnsi="微软雅黑" w:eastAsia="微软雅黑" w:cs="微软雅黑"/>
                <w:b/>
                <w:color w:val="000000"/>
                <w:kern w:val="0"/>
                <w:sz w:val="22"/>
                <w:szCs w:val="22"/>
                <w:lang w:bidi="ar"/>
              </w:rPr>
              <w:t>21电子班牌终端参数表</w:t>
            </w:r>
          </w:p>
        </w:tc>
        <w:tc>
          <w:tcPr>
            <w:tcW w:w="2615" w:type="dxa"/>
            <w:tcBorders>
              <w:top w:val="single" w:color="000000" w:sz="4" w:space="0"/>
              <w:left w:val="single" w:color="000000" w:sz="4" w:space="0"/>
              <w:bottom w:val="single" w:color="000000" w:sz="4" w:space="0"/>
              <w:right w:val="single" w:color="000000" w:sz="4" w:space="0"/>
            </w:tcBorders>
            <w:shd w:val="clear" w:color="auto" w:fill="CFCECE" w:themeFill="background2" w:themeFillShade="E5"/>
            <w:vAlign w:val="center"/>
          </w:tcPr>
          <w:p>
            <w:pPr>
              <w:widowControl/>
              <w:jc w:val="center"/>
              <w:textAlignment w:val="center"/>
              <w:rPr>
                <w:rFonts w:ascii="微软雅黑" w:hAnsi="微软雅黑" w:eastAsia="微软雅黑" w:cs="微软雅黑"/>
                <w:b/>
                <w:color w:val="000000"/>
                <w:kern w:val="0"/>
                <w:sz w:val="22"/>
                <w:szCs w:val="22"/>
                <w:lang w:bidi="ar"/>
              </w:rPr>
            </w:pPr>
            <w:r>
              <w:rPr>
                <w:rFonts w:hint="eastAsia" w:ascii="微软雅黑" w:hAnsi="微软雅黑" w:eastAsia="微软雅黑" w:cs="微软雅黑"/>
                <w:b/>
                <w:color w:val="000000"/>
                <w:kern w:val="0"/>
                <w:sz w:val="22"/>
                <w:szCs w:val="22"/>
                <w:lang w:bidi="ar"/>
              </w:rPr>
              <w:t>10电子班牌终端参数表</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l2br w:val="single" w:color="000000" w:sz="4" w:space="0"/>
            </w:tcBorders>
            <w:shd w:val="clear" w:color="auto" w:fill="auto"/>
            <w:vAlign w:val="center"/>
          </w:tcPr>
          <w:p>
            <w:pPr>
              <w:widowControl/>
              <w:spacing w:line="260" w:lineRule="exact"/>
              <w:textAlignment w:val="center"/>
              <w:rPr>
                <w:rFonts w:ascii="微软雅黑" w:hAnsi="微软雅黑" w:eastAsia="微软雅黑" w:cs="微软雅黑"/>
                <w:b/>
                <w:color w:val="000000"/>
                <w:kern w:val="0"/>
                <w:szCs w:val="21"/>
                <w:lang w:bidi="ar"/>
              </w:rPr>
            </w:pPr>
            <w:r>
              <w:rPr>
                <w:rFonts w:hint="eastAsia" w:ascii="微软雅黑" w:hAnsi="微软雅黑" w:eastAsia="微软雅黑" w:cs="微软雅黑"/>
                <w:b/>
                <w:color w:val="000000"/>
                <w:kern w:val="0"/>
                <w:szCs w:val="21"/>
                <w:lang w:bidi="ar"/>
              </w:rPr>
              <w:t xml:space="preserve">              机型     </w:t>
            </w:r>
          </w:p>
          <w:p>
            <w:pPr>
              <w:widowControl/>
              <w:spacing w:line="260" w:lineRule="exact"/>
              <w:textAlignment w:val="center"/>
              <w:rPr>
                <w:rFonts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 xml:space="preserve">项目                                           </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609" w:firstLineChars="290"/>
              <w:textAlignment w:val="center"/>
              <w:rPr>
                <w:rFonts w:ascii="微软雅黑" w:hAnsi="微软雅黑" w:eastAsia="微软雅黑" w:cs="微软雅黑"/>
                <w:b/>
                <w:color w:val="000000"/>
                <w:szCs w:val="21"/>
              </w:rPr>
            </w:pPr>
            <w:r>
              <w:rPr>
                <w:rStyle w:val="11"/>
                <w:rFonts w:hint="default"/>
                <w:sz w:val="21"/>
                <w:szCs w:val="21"/>
                <w:lang w:bidi="ar"/>
              </w:rPr>
              <w:t>21寸 触摸</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微软雅黑" w:hAnsi="微软雅黑" w:eastAsia="微软雅黑" w:cs="微软雅黑"/>
                <w:b/>
                <w:color w:val="000000"/>
                <w:szCs w:val="21"/>
              </w:rPr>
            </w:pPr>
            <w:r>
              <w:rPr>
                <w:rStyle w:val="11"/>
                <w:rFonts w:hint="default"/>
                <w:sz w:val="21"/>
                <w:szCs w:val="21"/>
                <w:lang w:bidi="ar"/>
              </w:rPr>
              <w:t>21寸 非触摸</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Style w:val="11"/>
                <w:rFonts w:hint="default"/>
                <w:sz w:val="21"/>
                <w:szCs w:val="21"/>
                <w:lang w:bidi="ar"/>
              </w:rPr>
            </w:pPr>
            <w:r>
              <w:rPr>
                <w:rFonts w:hint="eastAsia" w:ascii="微软雅黑" w:hAnsi="微软雅黑" w:eastAsia="微软雅黑" w:cs="微软雅黑"/>
                <w:b/>
                <w:color w:val="000000"/>
                <w:kern w:val="0"/>
                <w:szCs w:val="21"/>
                <w:lang w:bidi="ar"/>
              </w:rPr>
              <w:t>10寸</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产品系列名称</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微软雅黑" w:hAnsi="微软雅黑" w:eastAsia="微软雅黑" w:cs="微软雅黑"/>
                <w:b/>
                <w:color w:val="000000"/>
                <w:sz w:val="22"/>
                <w:szCs w:val="22"/>
              </w:rPr>
            </w:pPr>
            <w:r>
              <w:rPr>
                <w:rFonts w:hint="eastAsia" w:ascii="微软雅黑" w:hAnsi="微软雅黑" w:eastAsia="微软雅黑" w:cs="微软雅黑"/>
                <w:b/>
                <w:color w:val="000000"/>
                <w:kern w:val="0"/>
                <w:sz w:val="22"/>
                <w:szCs w:val="22"/>
                <w:lang w:bidi="ar"/>
              </w:rPr>
              <w:t>BP</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微软雅黑" w:hAnsi="微软雅黑" w:eastAsia="微软雅黑" w:cs="微软雅黑"/>
                <w:b/>
                <w:color w:val="000000"/>
                <w:sz w:val="22"/>
                <w:szCs w:val="22"/>
              </w:rPr>
            </w:pPr>
            <w:r>
              <w:rPr>
                <w:rFonts w:hint="eastAsia" w:ascii="微软雅黑" w:hAnsi="微软雅黑" w:eastAsia="微软雅黑" w:cs="微软雅黑"/>
                <w:b/>
                <w:color w:val="000000"/>
                <w:kern w:val="0"/>
                <w:sz w:val="22"/>
                <w:szCs w:val="22"/>
                <w:lang w:bidi="ar"/>
              </w:rPr>
              <w:t>BP</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center"/>
              <w:textAlignment w:val="center"/>
              <w:rPr>
                <w:rFonts w:ascii="微软雅黑" w:hAnsi="微软雅黑" w:eastAsia="微软雅黑" w:cs="微软雅黑"/>
                <w:b/>
                <w:color w:val="000000"/>
                <w:kern w:val="0"/>
                <w:sz w:val="22"/>
                <w:szCs w:val="22"/>
                <w:lang w:bidi="ar"/>
              </w:rPr>
            </w:pPr>
            <w:r>
              <w:rPr>
                <w:rFonts w:hint="eastAsia" w:ascii="微软雅黑" w:hAnsi="微软雅黑" w:eastAsia="微软雅黑" w:cs="微软雅黑"/>
                <w:b/>
                <w:color w:val="000000"/>
                <w:kern w:val="0"/>
                <w:sz w:val="22"/>
                <w:szCs w:val="22"/>
                <w:lang w:bidi="ar"/>
              </w:rPr>
              <w:t>BD</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屏幕</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 21.5英寸液晶(1920*1080)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 xml:space="preserve"> 21.5英寸液晶屏(1920*1080)</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 xml:space="preserve"> 10.1英寸液晶屏(1024*600)</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操作系统</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android</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android</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宋体" w:hAnsi="宋体" w:eastAsia="宋体" w:cs="宋体"/>
                <w:kern w:val="0"/>
                <w:sz w:val="22"/>
                <w:szCs w:val="22"/>
                <w:lang w:bidi="ar"/>
              </w:rPr>
              <w:t>android</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适配器参数</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fldChar w:fldCharType="begin"/>
            </w:r>
            <w:r>
              <w:instrText xml:space="preserve"> HYPERLINK "mailto:DC12V@4A，直流" </w:instrText>
            </w:r>
            <w:r>
              <w:fldChar w:fldCharType="separate"/>
            </w:r>
            <w:r>
              <w:rPr>
                <w:rFonts w:hint="eastAsia" w:ascii="微软雅黑" w:hAnsi="微软雅黑" w:eastAsia="微软雅黑" w:cs="微软雅黑"/>
                <w:color w:val="000000"/>
                <w:kern w:val="0"/>
                <w:sz w:val="18"/>
                <w:szCs w:val="18"/>
                <w:lang w:bidi="ar"/>
              </w:rPr>
              <w:t>DC12V@4A，直流</w:t>
            </w:r>
            <w:r>
              <w:rPr>
                <w:rFonts w:hint="eastAsia" w:ascii="微软雅黑" w:hAnsi="微软雅黑" w:eastAsia="微软雅黑" w:cs="微软雅黑"/>
                <w:color w:val="000000"/>
                <w:kern w:val="0"/>
                <w:sz w:val="18"/>
                <w:szCs w:val="18"/>
                <w:lang w:bidi="ar"/>
              </w:rPr>
              <w:fldChar w:fldCharType="end"/>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fldChar w:fldCharType="begin"/>
            </w:r>
            <w:r>
              <w:instrText xml:space="preserve"> HYPERLINK "mailto:DC12V@2A，直流" </w:instrText>
            </w:r>
            <w:r>
              <w:fldChar w:fldCharType="separate"/>
            </w:r>
            <w:r>
              <w:rPr>
                <w:rFonts w:hint="eastAsia" w:ascii="微软雅黑" w:hAnsi="微软雅黑" w:eastAsia="微软雅黑" w:cs="微软雅黑"/>
                <w:color w:val="000000"/>
                <w:kern w:val="0"/>
                <w:sz w:val="18"/>
                <w:szCs w:val="18"/>
                <w:lang w:bidi="ar"/>
              </w:rPr>
              <w:t>AC220V 交流</w:t>
            </w:r>
            <w:r>
              <w:rPr>
                <w:rFonts w:hint="eastAsia" w:ascii="微软雅黑" w:hAnsi="微软雅黑" w:eastAsia="微软雅黑" w:cs="微软雅黑"/>
                <w:color w:val="000000"/>
                <w:kern w:val="0"/>
                <w:sz w:val="18"/>
                <w:szCs w:val="18"/>
                <w:lang w:bidi="ar"/>
              </w:rPr>
              <w:fldChar w:fldCharType="end"/>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fldChar w:fldCharType="begin"/>
            </w:r>
            <w:r>
              <w:instrText xml:space="preserve"> HYPERLINK "mailto:DC12V@2A，直流" </w:instrText>
            </w:r>
            <w:r>
              <w:fldChar w:fldCharType="separate"/>
            </w:r>
            <w:r>
              <w:rPr>
                <w:rFonts w:hint="eastAsia" w:ascii="微软雅黑" w:hAnsi="微软雅黑" w:eastAsia="微软雅黑" w:cs="微软雅黑"/>
                <w:color w:val="000000"/>
                <w:kern w:val="0"/>
                <w:sz w:val="18"/>
                <w:szCs w:val="18"/>
                <w:lang w:bidi="ar"/>
              </w:rPr>
              <w:t>DC12V@2A，直流</w:t>
            </w:r>
            <w:r>
              <w:rPr>
                <w:rFonts w:hint="eastAsia" w:ascii="微软雅黑" w:hAnsi="微软雅黑" w:eastAsia="微软雅黑" w:cs="微软雅黑"/>
                <w:color w:val="000000"/>
                <w:kern w:val="0"/>
                <w:sz w:val="18"/>
                <w:szCs w:val="18"/>
                <w:lang w:bidi="ar"/>
              </w:rPr>
              <w:fldChar w:fldCharType="end"/>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CPU主频</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 xml:space="preserve">1GHZ  </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 xml:space="preserve">1GHZ  </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 xml:space="preserve">1GHZ  </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存储内存</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8G</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8G</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8G</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运行内存</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1G</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1G</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1G</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SD卡</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1G/2G/4G/8G/16G</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1G/2G/4G/8G/16G</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1G/2G/4G/8G/16G</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U盘</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1G/2G/4G/8G/16G</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1G/2G/4G/8G/16G</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1G/2G/4G/8G/16G</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FF0000"/>
                <w:sz w:val="18"/>
                <w:szCs w:val="18"/>
              </w:rPr>
            </w:pPr>
            <w:r>
              <w:rPr>
                <w:rFonts w:hint="eastAsia" w:ascii="微软雅黑" w:hAnsi="微软雅黑" w:eastAsia="微软雅黑" w:cs="微软雅黑"/>
                <w:b/>
                <w:kern w:val="0"/>
                <w:sz w:val="18"/>
                <w:szCs w:val="18"/>
                <w:lang w:bidi="ar"/>
              </w:rPr>
              <w:t>摄像头</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130万</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130万</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130万</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视频播放</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有(FPS：60)</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有(FPS：60)</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有(FPS：60)</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硬件看门狗</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有</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有</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有</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喇叭</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2W/8欧</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2W/8欧</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1W/8欧</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LED指示灯</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有</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无</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有</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额定功率</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Style w:val="12"/>
                <w:rFonts w:hint="default"/>
                <w:color w:val="auto"/>
                <w:lang w:bidi="ar"/>
              </w:rPr>
              <w:t>20W（待验证）</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Style w:val="12"/>
                <w:rFonts w:hint="default"/>
                <w:color w:val="auto"/>
                <w:lang w:bidi="ar"/>
              </w:rPr>
              <w:t>20W（待验证）</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12"/>
                <w:rFonts w:hint="default"/>
                <w:color w:val="auto"/>
                <w:lang w:bidi="ar"/>
              </w:rPr>
            </w:pPr>
            <w:r>
              <w:rPr>
                <w:rFonts w:hint="eastAsia" w:ascii="微软雅黑" w:hAnsi="微软雅黑" w:eastAsia="微软雅黑" w:cs="微软雅黑"/>
                <w:kern w:val="0"/>
                <w:sz w:val="18"/>
                <w:szCs w:val="18"/>
                <w:lang w:bidi="ar"/>
              </w:rPr>
              <w:t>8W（待验证）</w:t>
            </w:r>
          </w:p>
        </w:tc>
      </w:tr>
      <w:tr>
        <w:tblPrEx>
          <w:tblLayout w:type="fixed"/>
          <w:tblCellMar>
            <w:top w:w="15" w:type="dxa"/>
            <w:left w:w="15" w:type="dxa"/>
            <w:bottom w:w="15" w:type="dxa"/>
            <w:right w:w="15" w:type="dxa"/>
          </w:tblCellMar>
        </w:tblPrEx>
        <w:trPr>
          <w:trHeight w:val="90" w:hRule="atLeast"/>
          <w:jc w:val="center"/>
        </w:trPr>
        <w:tc>
          <w:tcPr>
            <w:tcW w:w="4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IO口</w:t>
            </w:r>
          </w:p>
        </w:tc>
        <w:tc>
          <w:tcPr>
            <w:tcW w:w="16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Style w:val="13"/>
                <w:rFonts w:hint="default"/>
                <w:lang w:bidi="ar"/>
              </w:rPr>
              <w:t>门禁输入</w:t>
            </w:r>
            <w:r>
              <w:rPr>
                <w:rStyle w:val="12"/>
                <w:rFonts w:hint="default"/>
                <w:lang w:bidi="ar"/>
              </w:rPr>
              <w:t>(开门按钮)</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1路</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1路</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ascii="微软雅黑" w:hAnsi="微软雅黑" w:eastAsia="微软雅黑" w:cs="微软雅黑"/>
                <w:kern w:val="0"/>
                <w:sz w:val="18"/>
                <w:szCs w:val="18"/>
                <w:lang w:bidi="ar"/>
              </w:rPr>
              <w:t>1路</w:t>
            </w:r>
          </w:p>
        </w:tc>
      </w:tr>
      <w:tr>
        <w:tblPrEx>
          <w:tblLayout w:type="fixed"/>
          <w:tblCellMar>
            <w:top w:w="15" w:type="dxa"/>
            <w:left w:w="15" w:type="dxa"/>
            <w:bottom w:w="15" w:type="dxa"/>
            <w:right w:w="15" w:type="dxa"/>
          </w:tblCellMar>
        </w:tblPrEx>
        <w:trPr>
          <w:trHeight w:val="90" w:hRule="atLeast"/>
          <w:jc w:val="center"/>
        </w:trPr>
        <w:tc>
          <w:tcPr>
            <w:tcW w:w="4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rPr>
                <w:rFonts w:ascii="微软雅黑" w:hAnsi="微软雅黑" w:eastAsia="微软雅黑" w:cs="微软雅黑"/>
                <w:b/>
                <w:color w:val="000000"/>
                <w:sz w:val="18"/>
                <w:szCs w:val="18"/>
              </w:rPr>
            </w:pPr>
          </w:p>
        </w:tc>
        <w:tc>
          <w:tcPr>
            <w:tcW w:w="16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Style w:val="13"/>
                <w:rFonts w:hint="default"/>
                <w:lang w:bidi="ar"/>
              </w:rPr>
              <w:t>门禁输出</w:t>
            </w:r>
            <w:r>
              <w:rPr>
                <w:rStyle w:val="12"/>
                <w:rFonts w:hint="default"/>
                <w:lang w:bidi="ar"/>
              </w:rPr>
              <w:t>(继电器)</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1路</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1路</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ascii="微软雅黑" w:hAnsi="微软雅黑" w:eastAsia="微软雅黑" w:cs="微软雅黑"/>
                <w:kern w:val="0"/>
                <w:sz w:val="18"/>
                <w:szCs w:val="18"/>
                <w:lang w:bidi="ar"/>
              </w:rPr>
              <w:t>1路</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低电压、高电压报警功能</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无</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无</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ascii="微软雅黑" w:hAnsi="微软雅黑" w:eastAsia="微软雅黑" w:cs="微软雅黑"/>
                <w:kern w:val="0"/>
                <w:sz w:val="18"/>
                <w:szCs w:val="18"/>
                <w:lang w:bidi="ar"/>
              </w:rPr>
              <w:t>无</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后备电池</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无</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18"/>
                <w:szCs w:val="18"/>
                <w:lang w:bidi="ar"/>
              </w:rPr>
            </w:pPr>
            <w:r>
              <w:rPr>
                <w:rFonts w:hint="eastAsia" w:ascii="宋体" w:hAnsi="宋体" w:eastAsia="宋体" w:cs="宋体"/>
                <w:color w:val="000000"/>
                <w:kern w:val="0"/>
                <w:sz w:val="18"/>
                <w:szCs w:val="18"/>
                <w:lang w:bidi="ar"/>
              </w:rPr>
              <w:t>无</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ascii="宋体" w:hAnsi="宋体" w:eastAsia="宋体" w:cs="宋体"/>
                <w:color w:val="000000"/>
                <w:kern w:val="0"/>
                <w:sz w:val="18"/>
                <w:szCs w:val="18"/>
                <w:lang w:bidi="ar"/>
              </w:rPr>
              <w:t>无</w:t>
            </w:r>
          </w:p>
        </w:tc>
      </w:tr>
      <w:tr>
        <w:tblPrEx>
          <w:tblLayout w:type="fixed"/>
          <w:tblCellMar>
            <w:top w:w="15" w:type="dxa"/>
            <w:left w:w="15" w:type="dxa"/>
            <w:bottom w:w="15" w:type="dxa"/>
            <w:right w:w="15" w:type="dxa"/>
          </w:tblCellMar>
        </w:tblPrEx>
        <w:trPr>
          <w:trHeight w:val="90" w:hRule="atLeast"/>
          <w:jc w:val="center"/>
        </w:trPr>
        <w:tc>
          <w:tcPr>
            <w:tcW w:w="79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识别方式</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二维码识别</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不支持</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不支持</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ascii="微软雅黑" w:hAnsi="微软雅黑" w:eastAsia="微软雅黑" w:cs="微软雅黑"/>
                <w:color w:val="000000"/>
                <w:kern w:val="0"/>
                <w:sz w:val="18"/>
                <w:szCs w:val="18"/>
                <w:lang w:bidi="ar"/>
              </w:rPr>
              <w:t>不支持</w:t>
            </w:r>
          </w:p>
        </w:tc>
      </w:tr>
      <w:tr>
        <w:tblPrEx>
          <w:tblLayout w:type="fixed"/>
          <w:tblCellMar>
            <w:top w:w="15" w:type="dxa"/>
            <w:left w:w="15" w:type="dxa"/>
            <w:bottom w:w="15" w:type="dxa"/>
            <w:right w:w="15" w:type="dxa"/>
          </w:tblCellMar>
        </w:tblPrEx>
        <w:trPr>
          <w:trHeight w:val="90" w:hRule="atLeast"/>
          <w:jc w:val="center"/>
        </w:trPr>
        <w:tc>
          <w:tcPr>
            <w:tcW w:w="7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rPr>
                <w:rFonts w:ascii="微软雅黑" w:hAnsi="微软雅黑" w:eastAsia="微软雅黑" w:cs="微软雅黑"/>
                <w:b/>
                <w:color w:val="000000"/>
                <w:sz w:val="18"/>
                <w:szCs w:val="18"/>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IC卡头、CPU、</w:t>
            </w:r>
            <w:r>
              <w:rPr>
                <w:rFonts w:hint="eastAsia" w:ascii="微软雅黑" w:hAnsi="微软雅黑" w:eastAsia="微软雅黑" w:cs="微软雅黑"/>
                <w:b/>
                <w:color w:val="000000"/>
                <w:kern w:val="0"/>
                <w:sz w:val="18"/>
                <w:szCs w:val="18"/>
                <w:lang w:bidi="ar"/>
              </w:rPr>
              <w:br w:type="textWrapping"/>
            </w:r>
            <w:r>
              <w:rPr>
                <w:rFonts w:hint="eastAsia" w:ascii="微软雅黑" w:hAnsi="微软雅黑" w:eastAsia="微软雅黑" w:cs="微软雅黑"/>
                <w:b/>
                <w:color w:val="000000"/>
                <w:kern w:val="0"/>
                <w:sz w:val="18"/>
                <w:szCs w:val="18"/>
                <w:lang w:bidi="ar"/>
              </w:rPr>
              <w:t>NFC</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支持</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支持</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ascii="微软雅黑" w:hAnsi="微软雅黑" w:eastAsia="微软雅黑" w:cs="微软雅黑"/>
                <w:color w:val="000000"/>
                <w:kern w:val="0"/>
                <w:sz w:val="18"/>
                <w:szCs w:val="18"/>
                <w:lang w:bidi="ar"/>
              </w:rPr>
              <w:t>支持</w:t>
            </w:r>
          </w:p>
        </w:tc>
      </w:tr>
      <w:tr>
        <w:tblPrEx>
          <w:tblLayout w:type="fixed"/>
          <w:tblCellMar>
            <w:top w:w="15" w:type="dxa"/>
            <w:left w:w="15" w:type="dxa"/>
            <w:bottom w:w="15" w:type="dxa"/>
            <w:right w:w="15" w:type="dxa"/>
          </w:tblCellMar>
        </w:tblPrEx>
        <w:trPr>
          <w:trHeight w:val="90" w:hRule="atLeast"/>
          <w:jc w:val="center"/>
        </w:trPr>
        <w:tc>
          <w:tcPr>
            <w:tcW w:w="7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rPr>
                <w:rFonts w:ascii="微软雅黑" w:hAnsi="微软雅黑" w:eastAsia="微软雅黑" w:cs="微软雅黑"/>
                <w:b/>
                <w:color w:val="000000"/>
                <w:sz w:val="18"/>
                <w:szCs w:val="18"/>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ID卡头</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支持</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支持</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支持</w:t>
            </w:r>
          </w:p>
        </w:tc>
      </w:tr>
      <w:tr>
        <w:tblPrEx>
          <w:tblLayout w:type="fixed"/>
          <w:tblCellMar>
            <w:top w:w="15" w:type="dxa"/>
            <w:left w:w="15" w:type="dxa"/>
            <w:bottom w:w="15" w:type="dxa"/>
            <w:right w:w="15" w:type="dxa"/>
          </w:tblCellMar>
        </w:tblPrEx>
        <w:trPr>
          <w:trHeight w:val="90" w:hRule="atLeast"/>
          <w:jc w:val="center"/>
        </w:trPr>
        <w:tc>
          <w:tcPr>
            <w:tcW w:w="79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通信方式</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RJ-45以太网</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10M/100M自适应</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10M/100M自适应</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10M/100M自适应</w:t>
            </w:r>
          </w:p>
        </w:tc>
      </w:tr>
      <w:tr>
        <w:tblPrEx>
          <w:tblLayout w:type="fixed"/>
          <w:tblCellMar>
            <w:top w:w="15" w:type="dxa"/>
            <w:left w:w="15" w:type="dxa"/>
            <w:bottom w:w="15" w:type="dxa"/>
            <w:right w:w="15" w:type="dxa"/>
          </w:tblCellMar>
        </w:tblPrEx>
        <w:trPr>
          <w:trHeight w:val="90" w:hRule="atLeast"/>
          <w:jc w:val="center"/>
        </w:trPr>
        <w:tc>
          <w:tcPr>
            <w:tcW w:w="7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rPr>
                <w:rFonts w:ascii="微软雅黑" w:hAnsi="微软雅黑" w:eastAsia="微软雅黑" w:cs="微软雅黑"/>
                <w:b/>
                <w:color w:val="000000"/>
                <w:sz w:val="18"/>
                <w:szCs w:val="18"/>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Style w:val="13"/>
                <w:rFonts w:hint="default"/>
                <w:lang w:bidi="ar"/>
              </w:rPr>
              <w:t>wifi</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选配</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选配</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选配</w:t>
            </w:r>
          </w:p>
        </w:tc>
      </w:tr>
      <w:tr>
        <w:tblPrEx>
          <w:tblLayout w:type="fixed"/>
          <w:tblCellMar>
            <w:top w:w="15" w:type="dxa"/>
            <w:left w:w="15" w:type="dxa"/>
            <w:bottom w:w="15" w:type="dxa"/>
            <w:right w:w="15" w:type="dxa"/>
          </w:tblCellMar>
        </w:tblPrEx>
        <w:trPr>
          <w:trHeight w:val="90" w:hRule="atLeast"/>
          <w:jc w:val="center"/>
        </w:trPr>
        <w:tc>
          <w:tcPr>
            <w:tcW w:w="79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rPr>
                <w:rFonts w:ascii="微软雅黑" w:hAnsi="微软雅黑" w:eastAsia="微软雅黑" w:cs="微软雅黑"/>
                <w:b/>
                <w:color w:val="000000"/>
                <w:sz w:val="18"/>
                <w:szCs w:val="18"/>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4G通讯模块</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选配</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不支持</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选配</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档案数</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带照片：本机存储不超过20万人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不带照片：建议不超过30万人</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带照片：本机存储不超过20万人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不带照片：建议不超过30万人</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带照片：本机存储不超过20万人</w:t>
            </w:r>
            <w:r>
              <w:rPr>
                <w:rFonts w:hint="eastAsia" w:ascii="微软雅黑" w:hAnsi="微软雅黑" w:eastAsia="微软雅黑" w:cs="微软雅黑"/>
                <w:color w:val="000000"/>
                <w:kern w:val="0"/>
                <w:sz w:val="18"/>
                <w:szCs w:val="18"/>
                <w:lang w:bidi="ar"/>
              </w:rPr>
              <w:br w:type="textWrapping"/>
            </w:r>
            <w:r>
              <w:rPr>
                <w:rFonts w:hint="eastAsia" w:ascii="微软雅黑" w:hAnsi="微软雅黑" w:eastAsia="微软雅黑" w:cs="微软雅黑"/>
                <w:color w:val="000000"/>
                <w:kern w:val="0"/>
                <w:sz w:val="18"/>
                <w:szCs w:val="18"/>
                <w:lang w:bidi="ar"/>
              </w:rPr>
              <w:t>不带照片：建议不超过30万人</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档案加载速度</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20万档案大致25s</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20万档案大致25s</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20万档案大致25s</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档案检索速度</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20万档案检索平均1ms</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20万档案检索平均1ms</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20万档案检索平均1ms</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通讯方式</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自动及时下载和上传</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自动及时下载和上传</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自动及时下载和上传</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菜单层级</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1级菜单</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1级菜单</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1级菜单</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抗静电功能</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±6KV</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±6KV</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±6KV</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UDP传输</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支持</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支持</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支持</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按键</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电源开关</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sz w:val="18"/>
                <w:szCs w:val="18"/>
              </w:rPr>
            </w:pPr>
            <w:r>
              <w:rPr>
                <w:rFonts w:hint="eastAsia" w:ascii="微软雅黑" w:hAnsi="微软雅黑" w:eastAsia="微软雅黑" w:cs="微软雅黑"/>
                <w:kern w:val="0"/>
                <w:sz w:val="18"/>
                <w:szCs w:val="18"/>
                <w:lang w:bidi="ar"/>
              </w:rPr>
              <w:t>电源开关</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电源键</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麦克(语音留言)</w:t>
            </w:r>
          </w:p>
        </w:tc>
        <w:tc>
          <w:tcPr>
            <w:tcW w:w="26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支持</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不支持</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支持</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触摸屏</w:t>
            </w:r>
          </w:p>
        </w:tc>
        <w:tc>
          <w:tcPr>
            <w:tcW w:w="2613"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电容触摸屏</w:t>
            </w:r>
          </w:p>
        </w:tc>
        <w:tc>
          <w:tcPr>
            <w:tcW w:w="2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Style w:val="14"/>
                <w:rFonts w:hint="default"/>
                <w:lang w:bidi="ar"/>
              </w:rPr>
              <w:t>不支持，仅触摸按键 4键</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Style w:val="14"/>
                <w:rFonts w:hint="default"/>
                <w:lang w:bidi="ar"/>
              </w:rPr>
            </w:pPr>
            <w:r>
              <w:rPr>
                <w:rFonts w:hint="eastAsia" w:ascii="微软雅黑" w:hAnsi="微软雅黑" w:eastAsia="微软雅黑" w:cs="微软雅黑"/>
                <w:color w:val="000000"/>
                <w:kern w:val="0"/>
                <w:sz w:val="18"/>
                <w:szCs w:val="18"/>
                <w:lang w:bidi="ar"/>
              </w:rPr>
              <w:t>电容触摸屏</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韦根输入</w:t>
            </w:r>
          </w:p>
        </w:tc>
        <w:tc>
          <w:tcPr>
            <w:tcW w:w="26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不支持</w:t>
            </w:r>
          </w:p>
        </w:tc>
        <w:tc>
          <w:tcPr>
            <w:tcW w:w="2587"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韦根26、27、34、66、67</w:t>
            </w:r>
          </w:p>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自适应</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韦根26、27、34、66、67</w:t>
            </w:r>
          </w:p>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自适应</w:t>
            </w:r>
          </w:p>
        </w:tc>
      </w:tr>
      <w:tr>
        <w:tblPrEx>
          <w:tblLayout w:type="fixed"/>
          <w:tblCellMar>
            <w:top w:w="15" w:type="dxa"/>
            <w:left w:w="15" w:type="dxa"/>
            <w:bottom w:w="15" w:type="dxa"/>
            <w:right w:w="15" w:type="dxa"/>
          </w:tblCellMar>
        </w:tblPrEx>
        <w:trPr>
          <w:trHeight w:val="90" w:hRule="atLeast"/>
          <w:jc w:val="center"/>
        </w:trPr>
        <w:tc>
          <w:tcPr>
            <w:tcW w:w="213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60" w:lineRule="exact"/>
              <w:jc w:val="left"/>
              <w:textAlignment w:val="center"/>
              <w:rPr>
                <w:rFonts w:ascii="微软雅黑" w:hAnsi="微软雅黑" w:eastAsia="微软雅黑" w:cs="微软雅黑"/>
                <w:b/>
                <w:color w:val="000000"/>
                <w:sz w:val="18"/>
                <w:szCs w:val="18"/>
              </w:rPr>
            </w:pPr>
            <w:r>
              <w:rPr>
                <w:rFonts w:hint="eastAsia" w:ascii="微软雅黑" w:hAnsi="微软雅黑" w:eastAsia="微软雅黑" w:cs="微软雅黑"/>
                <w:b/>
                <w:color w:val="000000"/>
                <w:kern w:val="0"/>
                <w:sz w:val="18"/>
                <w:szCs w:val="18"/>
                <w:lang w:bidi="ar"/>
              </w:rPr>
              <w:t>韦根输出</w:t>
            </w:r>
          </w:p>
        </w:tc>
        <w:tc>
          <w:tcPr>
            <w:tcW w:w="26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不支持</w:t>
            </w:r>
          </w:p>
        </w:tc>
        <w:tc>
          <w:tcPr>
            <w:tcW w:w="2587"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sz w:val="18"/>
                <w:szCs w:val="18"/>
              </w:rPr>
            </w:pPr>
            <w:r>
              <w:rPr>
                <w:rFonts w:hint="eastAsia" w:ascii="微软雅黑" w:hAnsi="微软雅黑" w:eastAsia="微软雅黑" w:cs="微软雅黑"/>
                <w:color w:val="000000"/>
                <w:kern w:val="0"/>
                <w:sz w:val="18"/>
                <w:szCs w:val="18"/>
                <w:lang w:bidi="ar"/>
              </w:rPr>
              <w:t>不支持</w:t>
            </w:r>
          </w:p>
        </w:tc>
        <w:tc>
          <w:tcPr>
            <w:tcW w:w="2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000000"/>
                <w:kern w:val="0"/>
                <w:sz w:val="18"/>
                <w:szCs w:val="18"/>
                <w:lang w:bidi="ar"/>
              </w:rPr>
            </w:pPr>
            <w:r>
              <w:rPr>
                <w:rFonts w:hint="eastAsia" w:ascii="微软雅黑" w:hAnsi="微软雅黑" w:eastAsia="微软雅黑" w:cs="微软雅黑"/>
                <w:color w:val="000000"/>
                <w:kern w:val="0"/>
                <w:sz w:val="18"/>
                <w:szCs w:val="18"/>
                <w:lang w:bidi="ar"/>
              </w:rPr>
              <w:t>支持韦根26</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5933E"/>
    <w:multiLevelType w:val="multilevel"/>
    <w:tmpl w:val="55A5933E"/>
    <w:lvl w:ilvl="0" w:tentative="0">
      <w:start w:val="1"/>
      <w:numFmt w:val="chineseCountingThousand"/>
      <w:pStyle w:val="2"/>
      <w:lvlText w:val="%1、"/>
      <w:lvlJc w:val="left"/>
      <w:pPr>
        <w:tabs>
          <w:tab w:val="left" w:pos="720"/>
        </w:tabs>
        <w:ind w:left="567" w:hanging="567"/>
      </w:pPr>
      <w:rPr>
        <w:rFonts w:hint="eastAsia"/>
        <w:lang w:val="en-US"/>
      </w:rPr>
    </w:lvl>
    <w:lvl w:ilvl="1" w:tentative="0">
      <w:start w:val="1"/>
      <w:numFmt w:val="decimal"/>
      <w:pStyle w:val="3"/>
      <w:isLgl/>
      <w:lvlText w:val="%1.%2."/>
      <w:lvlJc w:val="left"/>
      <w:pPr>
        <w:tabs>
          <w:tab w:val="left" w:pos="720"/>
        </w:tabs>
        <w:ind w:left="567" w:hanging="567"/>
      </w:pPr>
      <w:rPr>
        <w:rFonts w:hint="eastAsia"/>
      </w:rPr>
    </w:lvl>
    <w:lvl w:ilvl="2" w:tentative="0">
      <w:start w:val="1"/>
      <w:numFmt w:val="decimal"/>
      <w:isLgl/>
      <w:lvlText w:val="%1.%2.%3."/>
      <w:lvlJc w:val="left"/>
      <w:pPr>
        <w:tabs>
          <w:tab w:val="left" w:pos="1080"/>
        </w:tabs>
        <w:ind w:left="709" w:hanging="709"/>
      </w:pPr>
      <w:rPr>
        <w:rFonts w:hint="eastAsia"/>
      </w:rPr>
    </w:lvl>
    <w:lvl w:ilvl="3" w:tentative="0">
      <w:start w:val="1"/>
      <w:numFmt w:val="decimal"/>
      <w:pStyle w:val="5"/>
      <w:isLgl/>
      <w:lvlText w:val="%1.%2.%3.%4."/>
      <w:lvlJc w:val="left"/>
      <w:pPr>
        <w:tabs>
          <w:tab w:val="left" w:pos="1440"/>
        </w:tabs>
        <w:ind w:left="851" w:hanging="851"/>
      </w:pPr>
      <w:rPr>
        <w:rFonts w:cs="Times New Roman"/>
        <w:b w:val="0"/>
        <w:bCs w:val="0"/>
        <w:i w:val="0"/>
        <w:iCs w:val="0"/>
        <w:caps w:val="0"/>
        <w:smallCaps w:val="0"/>
        <w:strike w:val="0"/>
        <w:dstrike w:val="0"/>
        <w:vanish w:val="0"/>
        <w:spacing w:val="0"/>
        <w:position w:val="0"/>
        <w:u w:val="none"/>
        <w:vertAlign w:val="baseline"/>
      </w:rPr>
    </w:lvl>
    <w:lvl w:ilvl="4" w:tentative="0">
      <w:start w:val="1"/>
      <w:numFmt w:val="decimal"/>
      <w:isLgl/>
      <w:lvlText w:val="%1.%2.%3.%4.%5."/>
      <w:lvlJc w:val="left"/>
      <w:pPr>
        <w:tabs>
          <w:tab w:val="left" w:pos="1800"/>
        </w:tabs>
        <w:ind w:left="992" w:hanging="992"/>
      </w:pPr>
      <w:rPr>
        <w:rFonts w:hint="eastAsia"/>
      </w:rPr>
    </w:lvl>
    <w:lvl w:ilvl="5" w:tentative="0">
      <w:start w:val="1"/>
      <w:numFmt w:val="decimal"/>
      <w:isLgl/>
      <w:lvlText w:val="%1.%2.%3.%4.%5.%6."/>
      <w:lvlJc w:val="left"/>
      <w:pPr>
        <w:tabs>
          <w:tab w:val="left" w:pos="2160"/>
        </w:tabs>
        <w:ind w:left="1134" w:hanging="1134"/>
      </w:pPr>
      <w:rPr>
        <w:rFonts w:hint="eastAsia"/>
        <w:i w:val="0"/>
      </w:rPr>
    </w:lvl>
    <w:lvl w:ilvl="6" w:tentative="0">
      <w:start w:val="1"/>
      <w:numFmt w:val="decimal"/>
      <w:isLgl/>
      <w:lvlText w:val="%1.%2.%3.%4.%5.%6.%7."/>
      <w:lvlJc w:val="left"/>
      <w:pPr>
        <w:tabs>
          <w:tab w:val="left" w:pos="2520"/>
        </w:tabs>
        <w:ind w:left="1276" w:hanging="1276"/>
      </w:pPr>
      <w:rPr>
        <w:rFonts w:hint="eastAsia"/>
      </w:rPr>
    </w:lvl>
    <w:lvl w:ilvl="7" w:tentative="0">
      <w:start w:val="1"/>
      <w:numFmt w:val="decimal"/>
      <w:isLgl/>
      <w:lvlText w:val="%1.%2.%3.%4.%5.%6.%7.%8."/>
      <w:lvlJc w:val="left"/>
      <w:pPr>
        <w:tabs>
          <w:tab w:val="left" w:pos="2880"/>
        </w:tabs>
        <w:ind w:left="1418" w:hanging="1418"/>
      </w:pPr>
      <w:rPr>
        <w:rFonts w:hint="eastAsia"/>
      </w:rPr>
    </w:lvl>
    <w:lvl w:ilvl="8" w:tentative="0">
      <w:start w:val="1"/>
      <w:numFmt w:val="decimal"/>
      <w:isLgl/>
      <w:lvlText w:val="%1.%2.%3.%4.%5.%6.%7.%8.%9."/>
      <w:lvlJc w:val="left"/>
      <w:pPr>
        <w:tabs>
          <w:tab w:val="left" w:pos="3240"/>
        </w:tabs>
        <w:ind w:left="1559" w:hanging="1559"/>
      </w:pPr>
      <w:rPr>
        <w:rFonts w:hint="eastAsia"/>
      </w:rPr>
    </w:lvl>
  </w:abstractNum>
  <w:abstractNum w:abstractNumId="1">
    <w:nsid w:val="585C9580"/>
    <w:multiLevelType w:val="singleLevel"/>
    <w:tmpl w:val="585C9580"/>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dit="forms" w:formatting="1" w:enforcement="1" w:cryptProviderType="rsaFull" w:cryptAlgorithmClass="hash" w:cryptAlgorithmType="typeAny" w:cryptAlgorithmSid="4" w:cryptSpinCount="0" w:hash="zUJI0CxwLeY7BFLGX1tCfhGA6A0=" w:salt="P3CbqnsrLfN8q00644SE3Q=="/>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7A7D72"/>
    <w:rsid w:val="226C381E"/>
    <w:rsid w:val="767A7D7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1081"/>
      </w:tabs>
      <w:spacing w:before="100" w:beforeAutospacing="1" w:after="100" w:afterAutospacing="1"/>
      <w:outlineLvl w:val="0"/>
    </w:pPr>
    <w:rPr>
      <w:rFonts w:ascii="Times New Roman" w:hAnsi="Times New Roman" w:eastAsia="隶书"/>
      <w:b/>
      <w:kern w:val="28"/>
      <w:sz w:val="44"/>
    </w:rPr>
  </w:style>
  <w:style w:type="paragraph" w:styleId="3">
    <w:name w:val="heading 2"/>
    <w:basedOn w:val="1"/>
    <w:next w:val="1"/>
    <w:unhideWhenUsed/>
    <w:qFormat/>
    <w:uiPriority w:val="0"/>
    <w:pPr>
      <w:keepNext/>
      <w:keepLines/>
      <w:numPr>
        <w:ilvl w:val="1"/>
        <w:numId w:val="1"/>
      </w:numPr>
      <w:tabs>
        <w:tab w:val="left" w:pos="1081"/>
      </w:tabs>
      <w:spacing w:before="100" w:beforeAutospacing="1" w:after="100" w:afterAutospacing="1"/>
      <w:outlineLvl w:val="1"/>
    </w:pPr>
    <w:rPr>
      <w:rFonts w:ascii="Times New Roman" w:hAnsi="Times New Roman" w:eastAsia="隶书"/>
      <w:b/>
      <w:bCs/>
      <w:sz w:val="36"/>
      <w:szCs w:val="32"/>
    </w:rPr>
  </w:style>
  <w:style w:type="paragraph" w:styleId="4">
    <w:name w:val="heading 3"/>
    <w:basedOn w:val="1"/>
    <w:next w:val="1"/>
    <w:link w:val="10"/>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numPr>
        <w:ilvl w:val="3"/>
        <w:numId w:val="1"/>
      </w:numPr>
      <w:spacing w:before="100" w:beforeAutospacing="1" w:after="100" w:afterAutospacing="1"/>
      <w:outlineLvl w:val="3"/>
    </w:pPr>
    <w:rPr>
      <w:rFonts w:ascii="Times New Roman" w:hAnsi="Times New Roman" w:eastAsia="隶书"/>
      <w:b/>
      <w:sz w:val="30"/>
    </w:rPr>
  </w:style>
  <w:style w:type="character" w:default="1" w:styleId="7">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6">
    <w:name w:val="Body Text"/>
    <w:basedOn w:val="1"/>
    <w:qFormat/>
    <w:uiPriority w:val="0"/>
    <w:pPr>
      <w:spacing w:after="120"/>
    </w:pPr>
  </w:style>
  <w:style w:type="paragraph" w:customStyle="1" w:styleId="9">
    <w:name w:val="_Style 5"/>
    <w:basedOn w:val="1"/>
    <w:qFormat/>
    <w:uiPriority w:val="34"/>
    <w:pPr>
      <w:ind w:firstLine="420" w:firstLineChars="200"/>
    </w:pPr>
    <w:rPr>
      <w:rFonts w:ascii="Calibri" w:hAnsi="Calibri" w:eastAsia="宋体" w:cs="Times New Roman"/>
    </w:rPr>
  </w:style>
  <w:style w:type="character" w:customStyle="1" w:styleId="10">
    <w:name w:val="标题 3 Char"/>
    <w:basedOn w:val="7"/>
    <w:link w:val="4"/>
    <w:qFormat/>
    <w:uiPriority w:val="0"/>
    <w:rPr>
      <w:b/>
      <w:sz w:val="32"/>
    </w:rPr>
  </w:style>
  <w:style w:type="character" w:customStyle="1" w:styleId="11">
    <w:name w:val="font91"/>
    <w:basedOn w:val="7"/>
    <w:qFormat/>
    <w:uiPriority w:val="0"/>
    <w:rPr>
      <w:rFonts w:hint="eastAsia" w:ascii="微软雅黑" w:hAnsi="微软雅黑" w:eastAsia="微软雅黑" w:cs="微软雅黑"/>
      <w:b/>
      <w:color w:val="000000"/>
      <w:sz w:val="22"/>
      <w:szCs w:val="22"/>
      <w:u w:val="none"/>
    </w:rPr>
  </w:style>
  <w:style w:type="character" w:customStyle="1" w:styleId="12">
    <w:name w:val="font51"/>
    <w:basedOn w:val="7"/>
    <w:qFormat/>
    <w:uiPriority w:val="0"/>
    <w:rPr>
      <w:rFonts w:hint="eastAsia" w:ascii="微软雅黑" w:hAnsi="微软雅黑" w:eastAsia="微软雅黑" w:cs="微软雅黑"/>
      <w:color w:val="000000"/>
      <w:sz w:val="18"/>
      <w:szCs w:val="18"/>
      <w:u w:val="none"/>
    </w:rPr>
  </w:style>
  <w:style w:type="character" w:customStyle="1" w:styleId="13">
    <w:name w:val="font111"/>
    <w:basedOn w:val="7"/>
    <w:qFormat/>
    <w:uiPriority w:val="0"/>
    <w:rPr>
      <w:rFonts w:hint="eastAsia" w:ascii="微软雅黑" w:hAnsi="微软雅黑" w:eastAsia="微软雅黑" w:cs="微软雅黑"/>
      <w:b/>
      <w:color w:val="000000"/>
      <w:sz w:val="18"/>
      <w:szCs w:val="18"/>
      <w:u w:val="none"/>
    </w:rPr>
  </w:style>
  <w:style w:type="character" w:customStyle="1" w:styleId="14">
    <w:name w:val="font81"/>
    <w:basedOn w:val="7"/>
    <w:qFormat/>
    <w:uiPriority w:val="0"/>
    <w:rPr>
      <w:rFonts w:hint="eastAsia"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2017-09-13T06:38:00Z</dcterms:created>
  <dc:creator>Administrator</dc:creator>
  <cp:lastModifiedBy>Administrator</cp:lastModifiedBy>
  <dcterms:modified xsi:type="dcterms:W3CDTF">2017-09-15T01:04:40Z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